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pacing w:val="0"/>
          <w:kern w:val="0"/>
          <w:sz w:val="22"/>
          <w:szCs w:val="22"/>
          <w:lang w:val="en-CA" w:eastAsia="en-US"/>
        </w:rPr>
        <w:id w:val="2123723321"/>
        <w:docPartObj>
          <w:docPartGallery w:val="Cover Pages"/>
          <w:docPartUnique/>
        </w:docPartObj>
      </w:sdtPr>
      <w:sdtEndPr>
        <w:rPr>
          <w:rFonts w:ascii="Arial" w:hAnsi="Arial" w:cs="Arial"/>
        </w:rPr>
      </w:sdtEndPr>
      <w:sdtContent>
        <w:bookmarkStart w:id="0" w:name="_Hlk530048001" w:displacedByCustomXml="prev"/>
        <w:p w14:paraId="07A87B54" w14:textId="17A51EE7" w:rsidR="00D9269C" w:rsidRPr="00C93FC6" w:rsidRDefault="00D9269C" w:rsidP="00C93FC6">
          <w:pPr>
            <w:pStyle w:val="Title"/>
            <w:pBdr>
              <w:bottom w:val="none" w:sz="0" w:space="0" w:color="auto"/>
            </w:pBdr>
            <w:tabs>
              <w:tab w:val="left" w:pos="9180"/>
            </w:tabs>
            <w:rPr>
              <w:rFonts w:asciiTheme="minorHAnsi" w:hAnsiTheme="minorHAnsi" w:cstheme="minorHAnsi"/>
              <w:b/>
              <w:color w:val="auto"/>
              <w:sz w:val="48"/>
              <w:szCs w:val="40"/>
            </w:rPr>
          </w:pPr>
          <w:r w:rsidRPr="00C93FC6">
            <w:rPr>
              <w:rFonts w:asciiTheme="minorHAnsi" w:hAnsiTheme="minorHAnsi" w:cstheme="minorHAnsi"/>
              <w:b/>
              <w:color w:val="auto"/>
              <w:sz w:val="48"/>
              <w:szCs w:val="40"/>
            </w:rPr>
            <w:t>ETFO Submission to the Ministry of Education</w:t>
          </w:r>
        </w:p>
        <w:p w14:paraId="658FF205" w14:textId="77777777" w:rsidR="00D9269C" w:rsidRPr="00C93FC6" w:rsidRDefault="00D9269C" w:rsidP="00C93FC6">
          <w:pPr>
            <w:spacing w:line="240" w:lineRule="auto"/>
            <w:rPr>
              <w:rFonts w:cstheme="minorHAnsi"/>
              <w:b/>
              <w:sz w:val="48"/>
              <w:szCs w:val="40"/>
            </w:rPr>
          </w:pPr>
          <w:r w:rsidRPr="00C93FC6">
            <w:rPr>
              <w:rFonts w:cstheme="minorHAnsi"/>
              <w:b/>
              <w:sz w:val="48"/>
              <w:szCs w:val="40"/>
            </w:rPr>
            <w:t xml:space="preserve">2022-23 Education Funding Feedback </w:t>
          </w:r>
        </w:p>
        <w:p w14:paraId="5E44A5F9" w14:textId="77777777" w:rsidR="00D9269C" w:rsidRPr="00C93FC6" w:rsidRDefault="00D9269C" w:rsidP="00C93FC6">
          <w:pPr>
            <w:spacing w:line="240" w:lineRule="auto"/>
            <w:rPr>
              <w:rFonts w:cstheme="minorHAnsi"/>
              <w:sz w:val="24"/>
              <w:szCs w:val="24"/>
            </w:rPr>
          </w:pPr>
          <w:r w:rsidRPr="00C93FC6">
            <w:rPr>
              <w:rFonts w:cstheme="minorHAnsi"/>
              <w:sz w:val="24"/>
              <w:szCs w:val="24"/>
            </w:rPr>
            <w:t>November 2021</w:t>
          </w:r>
        </w:p>
        <w:p w14:paraId="5E57B250" w14:textId="47696744" w:rsidR="00C93FC6" w:rsidRPr="00C321F6" w:rsidRDefault="0016157A" w:rsidP="00C321F6">
          <w:pPr>
            <w:spacing w:after="0" w:line="240" w:lineRule="auto"/>
            <w:rPr>
              <w:sz w:val="12"/>
              <w:szCs w:val="12"/>
            </w:rPr>
          </w:pPr>
        </w:p>
      </w:sdtContent>
    </w:sdt>
    <w:bookmarkEnd w:id="0" w:displacedByCustomXml="prev"/>
    <w:bookmarkStart w:id="1" w:name="_Toc57665742" w:displacedByCustomXml="prev"/>
    <w:bookmarkStart w:id="2" w:name="_Toc29568773" w:displacedByCustomXml="prev"/>
    <w:bookmarkStart w:id="3" w:name="_Toc29566116" w:displacedByCustomXml="prev"/>
    <w:bookmarkStart w:id="4" w:name="_Toc29555927" w:displacedByCustomXml="prev"/>
    <w:bookmarkStart w:id="5" w:name="_Toc29508452" w:displacedByCustomXml="prev"/>
    <w:bookmarkStart w:id="6" w:name="_Toc534964378" w:displacedByCustomXml="prev"/>
    <w:bookmarkStart w:id="7" w:name="_Toc534620315" w:displacedByCustomXml="prev"/>
    <w:bookmarkStart w:id="8" w:name="_Toc533062038" w:displacedByCustomXml="prev"/>
    <w:bookmarkStart w:id="9" w:name="_Toc531306920" w:displacedByCustomXml="prev"/>
    <w:p w14:paraId="6613B8E1" w14:textId="3D3CBE27" w:rsidR="006363E1" w:rsidRPr="00527E09" w:rsidRDefault="006363E1" w:rsidP="00C93FC6">
      <w:pPr>
        <w:spacing w:before="93" w:line="249" w:lineRule="auto"/>
        <w:ind w:right="49"/>
        <w:rPr>
          <w:rFonts w:cstheme="minorHAnsi"/>
          <w:b/>
          <w:sz w:val="24"/>
          <w:szCs w:val="24"/>
          <w:lang w:val="fr-CA"/>
        </w:rPr>
      </w:pPr>
      <w:r w:rsidRPr="00527E09">
        <w:rPr>
          <w:rFonts w:cstheme="minorHAnsi"/>
          <w:b/>
          <w:sz w:val="24"/>
          <w:szCs w:val="24"/>
          <w:lang w:val="fr-CA"/>
        </w:rPr>
        <w:t xml:space="preserve">Elementary Teachers’ Federation of Ontario </w:t>
      </w:r>
      <w:r w:rsidR="00EC1E98" w:rsidRPr="00527E09">
        <w:rPr>
          <w:rFonts w:cstheme="minorHAnsi"/>
          <w:b/>
          <w:sz w:val="24"/>
          <w:szCs w:val="24"/>
          <w:lang w:val="fr-CA"/>
        </w:rPr>
        <w:br/>
      </w:r>
      <w:r w:rsidRPr="00527E09">
        <w:rPr>
          <w:rFonts w:cstheme="minorHAnsi"/>
          <w:b/>
          <w:sz w:val="24"/>
          <w:szCs w:val="24"/>
          <w:lang w:val="fr-CA"/>
        </w:rPr>
        <w:t>Fédération des enseignantes et des enseignants de l’élémentaire de l’Ontario</w:t>
      </w:r>
    </w:p>
    <w:p w14:paraId="1634A69B" w14:textId="77777777" w:rsidR="00EC1E98" w:rsidRPr="00527E09" w:rsidRDefault="00EC1E98" w:rsidP="00C93FC6">
      <w:pPr>
        <w:pStyle w:val="BodyText"/>
        <w:ind w:right="2317"/>
        <w:rPr>
          <w:rFonts w:asciiTheme="minorHAnsi" w:hAnsiTheme="minorHAnsi" w:cstheme="minorHAnsi"/>
          <w:sz w:val="24"/>
          <w:szCs w:val="24"/>
        </w:rPr>
      </w:pPr>
      <w:r w:rsidRPr="00527E09">
        <w:rPr>
          <w:rFonts w:asciiTheme="minorHAnsi" w:hAnsiTheme="minorHAnsi" w:cstheme="minorHAnsi"/>
          <w:sz w:val="24"/>
          <w:szCs w:val="24"/>
        </w:rPr>
        <w:t>136 Isabella Street, Toronto, ON M4Y 0B5</w:t>
      </w:r>
    </w:p>
    <w:p w14:paraId="7CE846DF" w14:textId="77777777" w:rsidR="00EC1E98" w:rsidRPr="00527E09" w:rsidRDefault="00EC1E98" w:rsidP="00C93FC6">
      <w:pPr>
        <w:pStyle w:val="BodyText"/>
        <w:rPr>
          <w:rFonts w:asciiTheme="minorHAnsi" w:hAnsiTheme="minorHAnsi" w:cstheme="minorHAnsi"/>
          <w:sz w:val="24"/>
          <w:szCs w:val="24"/>
        </w:rPr>
      </w:pPr>
      <w:r w:rsidRPr="00527E09">
        <w:rPr>
          <w:rFonts w:asciiTheme="minorHAnsi" w:hAnsiTheme="minorHAnsi" w:cstheme="minorHAnsi"/>
          <w:sz w:val="24"/>
          <w:szCs w:val="24"/>
        </w:rPr>
        <w:t>416-962-3836 or 1-888-838-3836</w:t>
      </w:r>
    </w:p>
    <w:p w14:paraId="75F3CC8C" w14:textId="77777777" w:rsidR="00EC1E98" w:rsidRPr="00527E09" w:rsidRDefault="00EC1E98" w:rsidP="00C93FC6">
      <w:pPr>
        <w:pStyle w:val="BodyText"/>
        <w:rPr>
          <w:rFonts w:asciiTheme="minorHAnsi" w:hAnsiTheme="minorHAnsi" w:cstheme="minorHAnsi"/>
          <w:sz w:val="24"/>
          <w:szCs w:val="24"/>
        </w:rPr>
      </w:pPr>
      <w:r w:rsidRPr="00527E09">
        <w:rPr>
          <w:rFonts w:asciiTheme="minorHAnsi" w:hAnsiTheme="minorHAnsi" w:cstheme="minorHAnsi"/>
          <w:sz w:val="24"/>
          <w:szCs w:val="24"/>
        </w:rPr>
        <w:t>etfo.ca</w:t>
      </w:r>
    </w:p>
    <w:p w14:paraId="1DA8872D" w14:textId="5F21C9FD" w:rsidR="006363E1" w:rsidRPr="00527E09" w:rsidRDefault="00EC1E98" w:rsidP="00EC1E98">
      <w:pPr>
        <w:pStyle w:val="BodyText"/>
        <w:tabs>
          <w:tab w:val="left" w:pos="1762"/>
        </w:tabs>
        <w:ind w:left="1325"/>
        <w:rPr>
          <w:rFonts w:asciiTheme="minorHAnsi" w:hAnsiTheme="minorHAnsi" w:cstheme="minorHAnsi"/>
          <w:b/>
          <w:sz w:val="24"/>
          <w:szCs w:val="24"/>
          <w:lang w:val="en-CA"/>
        </w:rPr>
      </w:pPr>
      <w:r w:rsidRPr="00527E09">
        <w:rPr>
          <w:rFonts w:asciiTheme="minorHAnsi" w:hAnsiTheme="minorHAnsi" w:cstheme="minorHAnsi"/>
          <w:b/>
          <w:sz w:val="24"/>
          <w:szCs w:val="24"/>
          <w:lang w:val="en-CA"/>
        </w:rPr>
        <w:tab/>
      </w:r>
    </w:p>
    <w:p w14:paraId="451318E4" w14:textId="631690BE" w:rsidR="006363E1" w:rsidRPr="00527E09" w:rsidRDefault="00C86160" w:rsidP="00C93FC6">
      <w:pPr>
        <w:pStyle w:val="BodyText"/>
        <w:ind w:right="-377"/>
        <w:rPr>
          <w:rFonts w:asciiTheme="minorHAnsi" w:hAnsiTheme="minorHAnsi" w:cstheme="minorHAnsi"/>
          <w:sz w:val="24"/>
          <w:szCs w:val="24"/>
        </w:rPr>
      </w:pPr>
      <w:r w:rsidRPr="00527E09">
        <w:rPr>
          <w:rFonts w:asciiTheme="minorHAnsi" w:hAnsiTheme="minorHAnsi" w:cstheme="minorHAnsi"/>
          <w:bCs/>
          <w:sz w:val="24"/>
          <w:szCs w:val="24"/>
        </w:rPr>
        <w:t xml:space="preserve">ETFO </w:t>
      </w:r>
      <w:r w:rsidR="006363E1" w:rsidRPr="00527E09">
        <w:rPr>
          <w:rFonts w:asciiTheme="minorHAnsi" w:hAnsiTheme="minorHAnsi" w:cstheme="minorHAnsi"/>
          <w:sz w:val="24"/>
          <w:szCs w:val="24"/>
        </w:rPr>
        <w:t xml:space="preserve">represents 83,000 elementary </w:t>
      </w:r>
      <w:r w:rsidR="00EC1E98" w:rsidRPr="00527E09">
        <w:rPr>
          <w:rFonts w:asciiTheme="minorHAnsi" w:hAnsiTheme="minorHAnsi" w:cstheme="minorHAnsi"/>
          <w:sz w:val="24"/>
          <w:szCs w:val="24"/>
        </w:rPr>
        <w:t>public school</w:t>
      </w:r>
      <w:r w:rsidR="006363E1" w:rsidRPr="00527E09">
        <w:rPr>
          <w:rFonts w:asciiTheme="minorHAnsi" w:hAnsiTheme="minorHAnsi" w:cstheme="minorHAnsi"/>
          <w:sz w:val="24"/>
          <w:szCs w:val="24"/>
        </w:rPr>
        <w:t xml:space="preserve"> teachers, occasional teachers</w:t>
      </w:r>
      <w:r w:rsidRPr="00527E09">
        <w:rPr>
          <w:rFonts w:asciiTheme="minorHAnsi" w:hAnsiTheme="minorHAnsi" w:cstheme="minorHAnsi"/>
          <w:bCs/>
          <w:sz w:val="24"/>
          <w:szCs w:val="24"/>
        </w:rPr>
        <w:t>,</w:t>
      </w:r>
      <w:r w:rsidR="006363E1" w:rsidRPr="00527E09">
        <w:rPr>
          <w:rFonts w:asciiTheme="minorHAnsi" w:hAnsiTheme="minorHAnsi" w:cstheme="minorHAnsi"/>
          <w:bCs/>
          <w:sz w:val="24"/>
          <w:szCs w:val="24"/>
        </w:rPr>
        <w:t xml:space="preserve"> </w:t>
      </w:r>
      <w:r w:rsidR="008C4564" w:rsidRPr="00527E09">
        <w:rPr>
          <w:rFonts w:asciiTheme="minorHAnsi" w:hAnsiTheme="minorHAnsi" w:cstheme="minorHAnsi"/>
          <w:sz w:val="24"/>
          <w:szCs w:val="24"/>
        </w:rPr>
        <w:t>designated early childhood educators, education support personnel and professional support personnel</w:t>
      </w:r>
      <w:r w:rsidR="006363E1" w:rsidRPr="00527E09">
        <w:rPr>
          <w:rFonts w:asciiTheme="minorHAnsi" w:hAnsiTheme="minorHAnsi" w:cstheme="minorHAnsi"/>
          <w:sz w:val="24"/>
          <w:szCs w:val="24"/>
        </w:rPr>
        <w:t xml:space="preserve"> across the province. Its Building Better Schools education agenda can be viewed at </w:t>
      </w:r>
      <w:r w:rsidR="006363E1" w:rsidRPr="00527E09">
        <w:rPr>
          <w:rFonts w:asciiTheme="minorHAnsi" w:hAnsiTheme="minorHAnsi" w:cstheme="minorHAnsi"/>
          <w:b/>
          <w:sz w:val="24"/>
          <w:szCs w:val="24"/>
        </w:rPr>
        <w:t>BuildingBetterSchools.ca</w:t>
      </w:r>
      <w:r w:rsidR="006363E1" w:rsidRPr="00527E09">
        <w:rPr>
          <w:rFonts w:asciiTheme="minorHAnsi" w:hAnsiTheme="minorHAnsi" w:cstheme="minorHAnsi"/>
          <w:sz w:val="24"/>
          <w:szCs w:val="24"/>
        </w:rPr>
        <w:t>.</w:t>
      </w:r>
    </w:p>
    <w:p w14:paraId="5D80CB70" w14:textId="310960DA" w:rsidR="00EC1E98" w:rsidRPr="00527E09" w:rsidRDefault="00EC1E98" w:rsidP="006363E1">
      <w:pPr>
        <w:pStyle w:val="BodyText"/>
        <w:ind w:left="1440" w:right="-377"/>
        <w:rPr>
          <w:rFonts w:asciiTheme="minorHAnsi" w:hAnsiTheme="minorHAnsi" w:cstheme="minorHAnsi"/>
          <w:sz w:val="24"/>
          <w:szCs w:val="24"/>
        </w:rPr>
      </w:pPr>
    </w:p>
    <w:p w14:paraId="4FD56AE1" w14:textId="497211DB" w:rsidR="00EC1E98" w:rsidRPr="00527E09" w:rsidRDefault="00EC1E98" w:rsidP="006363E1">
      <w:pPr>
        <w:pStyle w:val="BodyText"/>
        <w:ind w:left="1440" w:right="-377"/>
        <w:rPr>
          <w:rFonts w:asciiTheme="minorHAnsi" w:hAnsiTheme="minorHAnsi" w:cstheme="minorHAnsi"/>
          <w:sz w:val="24"/>
          <w:szCs w:val="24"/>
        </w:rPr>
      </w:pPr>
    </w:p>
    <w:p w14:paraId="4FF2AC97" w14:textId="7AB1CE99" w:rsidR="00EC1E98" w:rsidRPr="00527E09" w:rsidRDefault="00EC1E98" w:rsidP="00C93FC6">
      <w:pPr>
        <w:pStyle w:val="BodyText"/>
        <w:spacing w:before="1"/>
        <w:rPr>
          <w:sz w:val="24"/>
          <w:szCs w:val="24"/>
        </w:rPr>
      </w:pPr>
      <w:r w:rsidRPr="00527E09">
        <w:rPr>
          <w:rFonts w:asciiTheme="minorHAnsi" w:hAnsiTheme="minorHAnsi" w:cstheme="minorHAnsi"/>
          <w:sz w:val="24"/>
          <w:szCs w:val="24"/>
        </w:rPr>
        <w:t xml:space="preserve">Copyright © </w:t>
      </w:r>
      <w:r w:rsidR="00D17151" w:rsidRPr="00527E09">
        <w:rPr>
          <w:rFonts w:asciiTheme="minorHAnsi" w:hAnsiTheme="minorHAnsi" w:cstheme="minorHAnsi"/>
          <w:sz w:val="24"/>
          <w:szCs w:val="24"/>
        </w:rPr>
        <w:t>November</w:t>
      </w:r>
      <w:r w:rsidRPr="00527E09">
        <w:rPr>
          <w:rFonts w:asciiTheme="minorHAnsi" w:hAnsiTheme="minorHAnsi" w:cstheme="minorHAnsi"/>
          <w:sz w:val="24"/>
          <w:szCs w:val="24"/>
        </w:rPr>
        <w:t xml:space="preserve"> 2021 by ETFO</w:t>
      </w:r>
    </w:p>
    <w:p w14:paraId="5B0869F7" w14:textId="77777777" w:rsidR="006363E1" w:rsidRPr="00527E09" w:rsidRDefault="006363E1" w:rsidP="006363E1">
      <w:pPr>
        <w:pStyle w:val="BodyText"/>
        <w:spacing w:before="7"/>
        <w:ind w:left="1325"/>
        <w:rPr>
          <w:rFonts w:asciiTheme="minorHAnsi" w:hAnsiTheme="minorHAnsi" w:cstheme="minorHAnsi"/>
          <w:sz w:val="24"/>
          <w:szCs w:val="24"/>
        </w:rPr>
      </w:pPr>
    </w:p>
    <w:p w14:paraId="6CD60A0F" w14:textId="169DB034" w:rsidR="006363E1" w:rsidRPr="00527E09" w:rsidRDefault="006363E1" w:rsidP="00C93FC6">
      <w:pPr>
        <w:pStyle w:val="BodyText"/>
        <w:spacing w:before="93"/>
        <w:rPr>
          <w:rFonts w:asciiTheme="minorHAnsi" w:hAnsiTheme="minorHAnsi" w:cstheme="minorHAnsi"/>
          <w:sz w:val="24"/>
          <w:szCs w:val="24"/>
        </w:rPr>
      </w:pPr>
      <w:r w:rsidRPr="00527E09">
        <w:rPr>
          <w:rFonts w:asciiTheme="minorHAnsi" w:hAnsiTheme="minorHAnsi" w:cstheme="minorHAnsi"/>
          <w:sz w:val="24"/>
          <w:szCs w:val="24"/>
        </w:rPr>
        <w:t>Follow us online at:</w:t>
      </w:r>
    </w:p>
    <w:p w14:paraId="3A7D7735" w14:textId="77777777" w:rsidR="00EC1E98" w:rsidRPr="00527E09" w:rsidRDefault="00EC1E98" w:rsidP="006363E1">
      <w:pPr>
        <w:pStyle w:val="BodyText"/>
        <w:spacing w:before="93"/>
        <w:ind w:left="1441"/>
        <w:rPr>
          <w:rFonts w:asciiTheme="minorHAnsi" w:hAnsiTheme="minorHAnsi" w:cstheme="minorHAnsi"/>
          <w:sz w:val="24"/>
          <w:szCs w:val="24"/>
        </w:rPr>
      </w:pPr>
    </w:p>
    <w:p w14:paraId="6A4CDFC7" w14:textId="666510B1" w:rsidR="006363E1" w:rsidRPr="00527E09" w:rsidRDefault="00C93FC6" w:rsidP="00C93FC6">
      <w:pPr>
        <w:pStyle w:val="BodyText"/>
        <w:spacing w:before="113"/>
        <w:rPr>
          <w:rFonts w:asciiTheme="minorHAnsi" w:hAnsiTheme="minorHAnsi" w:cstheme="minorHAnsi"/>
          <w:b/>
          <w:sz w:val="24"/>
          <w:szCs w:val="24"/>
        </w:rPr>
      </w:pPr>
      <w:r>
        <w:rPr>
          <w:rFonts w:asciiTheme="minorHAnsi" w:hAnsiTheme="minorHAnsi" w:cstheme="minorHAnsi"/>
          <w:sz w:val="24"/>
          <w:szCs w:val="24"/>
        </w:rPr>
        <w:t xml:space="preserve">Facebook: </w:t>
      </w:r>
      <w:r w:rsidR="006363E1" w:rsidRPr="00527E09">
        <w:rPr>
          <w:rFonts w:asciiTheme="minorHAnsi" w:hAnsiTheme="minorHAnsi" w:cstheme="minorHAnsi"/>
          <w:sz w:val="24"/>
          <w:szCs w:val="24"/>
        </w:rPr>
        <w:t>ETFOprovincialoffice</w:t>
      </w:r>
    </w:p>
    <w:p w14:paraId="2231B8BA" w14:textId="32A69F5F" w:rsidR="00C93FC6" w:rsidRDefault="00C93FC6" w:rsidP="00C93FC6">
      <w:pPr>
        <w:pStyle w:val="BodyText"/>
        <w:spacing w:before="137"/>
        <w:rPr>
          <w:rFonts w:asciiTheme="minorHAnsi" w:hAnsiTheme="minorHAnsi" w:cstheme="minorHAnsi"/>
          <w:sz w:val="24"/>
          <w:szCs w:val="24"/>
        </w:rPr>
      </w:pPr>
      <w:r>
        <w:rPr>
          <w:rFonts w:asciiTheme="minorHAnsi" w:hAnsiTheme="minorHAnsi" w:cstheme="minorHAnsi"/>
          <w:sz w:val="24"/>
          <w:szCs w:val="24"/>
        </w:rPr>
        <w:t xml:space="preserve">Twitter: </w:t>
      </w:r>
      <w:r w:rsidR="006363E1" w:rsidRPr="00527E09">
        <w:rPr>
          <w:rFonts w:asciiTheme="minorHAnsi" w:hAnsiTheme="minorHAnsi" w:cstheme="minorHAnsi"/>
          <w:sz w:val="24"/>
          <w:szCs w:val="24"/>
        </w:rPr>
        <w:t>@ETFOeducators</w:t>
      </w:r>
    </w:p>
    <w:p w14:paraId="74C72424" w14:textId="77777777" w:rsidR="00C93FC6" w:rsidRDefault="00C93FC6">
      <w:pPr>
        <w:rPr>
          <w:rFonts w:eastAsia="Arial" w:cstheme="minorHAnsi"/>
          <w:sz w:val="24"/>
          <w:szCs w:val="24"/>
          <w:lang w:val="en-US" w:bidi="en-US"/>
        </w:rPr>
      </w:pPr>
      <w:r>
        <w:rPr>
          <w:rFonts w:cstheme="minorHAnsi"/>
          <w:sz w:val="24"/>
          <w:szCs w:val="24"/>
        </w:rPr>
        <w:br w:type="page"/>
      </w:r>
    </w:p>
    <w:p w14:paraId="01CE1A0B" w14:textId="77777777" w:rsidR="00490339" w:rsidRPr="00527E09" w:rsidRDefault="00EC1E98" w:rsidP="004F0093">
      <w:pPr>
        <w:pStyle w:val="Heading1"/>
      </w:pPr>
      <w:bookmarkStart w:id="10" w:name="_Toc89070274"/>
      <w:bookmarkStart w:id="11" w:name="_Toc89070398"/>
      <w:bookmarkEnd w:id="9"/>
      <w:bookmarkEnd w:id="8"/>
      <w:bookmarkEnd w:id="7"/>
      <w:bookmarkEnd w:id="6"/>
      <w:bookmarkEnd w:id="5"/>
      <w:bookmarkEnd w:id="4"/>
      <w:bookmarkEnd w:id="3"/>
      <w:bookmarkEnd w:id="2"/>
      <w:r w:rsidRPr="00527E09">
        <w:lastRenderedPageBreak/>
        <w:t>TABLE OF CONTENTS</w:t>
      </w:r>
      <w:bookmarkEnd w:id="10"/>
      <w:bookmarkEnd w:id="11"/>
    </w:p>
    <w:p w14:paraId="0A3696A5" w14:textId="77777777" w:rsidR="00490339" w:rsidRPr="00527E09" w:rsidRDefault="00490339">
      <w:pPr>
        <w:pStyle w:val="TOC1"/>
        <w:tabs>
          <w:tab w:val="right" w:leader="dot" w:pos="9678"/>
        </w:tabs>
        <w:rPr>
          <w:rFonts w:ascii="Arial" w:hAnsi="Arial" w:cs="Arial"/>
          <w:b/>
          <w:bCs/>
          <w:sz w:val="26"/>
          <w:szCs w:val="26"/>
        </w:rPr>
      </w:pPr>
    </w:p>
    <w:p w14:paraId="1BF60FEF" w14:textId="61DB0302" w:rsidR="00C93FC6" w:rsidRPr="00C93FC6" w:rsidRDefault="006757FF">
      <w:pPr>
        <w:pStyle w:val="TOC1"/>
        <w:tabs>
          <w:tab w:val="right" w:leader="dot" w:pos="9678"/>
        </w:tabs>
        <w:rPr>
          <w:rFonts w:eastAsiaTheme="minorEastAsia"/>
          <w:noProof/>
          <w:sz w:val="28"/>
          <w:szCs w:val="28"/>
          <w:lang w:eastAsia="en-CA"/>
        </w:rPr>
      </w:pPr>
      <w:r w:rsidRPr="00C93FC6">
        <w:rPr>
          <w:rFonts w:ascii="Arial" w:eastAsiaTheme="majorEastAsia" w:hAnsi="Arial" w:cs="Arial"/>
          <w:b/>
          <w:bCs/>
          <w:sz w:val="28"/>
          <w:szCs w:val="28"/>
          <w:lang w:val="en-US"/>
        </w:rPr>
        <w:fldChar w:fldCharType="begin"/>
      </w:r>
      <w:r w:rsidRPr="00C93FC6">
        <w:rPr>
          <w:rFonts w:ascii="Arial" w:hAnsi="Arial" w:cs="Arial"/>
          <w:b/>
          <w:bCs/>
          <w:sz w:val="28"/>
          <w:szCs w:val="28"/>
        </w:rPr>
        <w:instrText xml:space="preserve"> TOC \o "1-1" \h \z \u </w:instrText>
      </w:r>
      <w:r w:rsidRPr="00C93FC6">
        <w:rPr>
          <w:rFonts w:ascii="Arial" w:eastAsiaTheme="majorEastAsia" w:hAnsi="Arial" w:cs="Arial"/>
          <w:b/>
          <w:bCs/>
          <w:sz w:val="28"/>
          <w:szCs w:val="28"/>
          <w:lang w:val="en-US"/>
        </w:rPr>
        <w:fldChar w:fldCharType="separate"/>
      </w:r>
      <w:bookmarkEnd w:id="1"/>
    </w:p>
    <w:p w14:paraId="49CDF833" w14:textId="3E78EF23" w:rsidR="00C93FC6" w:rsidRPr="00C93FC6" w:rsidRDefault="0016157A">
      <w:pPr>
        <w:pStyle w:val="TOC1"/>
        <w:tabs>
          <w:tab w:val="right" w:leader="dot" w:pos="9678"/>
        </w:tabs>
        <w:rPr>
          <w:rFonts w:eastAsiaTheme="minorEastAsia"/>
          <w:noProof/>
          <w:sz w:val="28"/>
          <w:szCs w:val="28"/>
          <w:lang w:eastAsia="en-CA"/>
        </w:rPr>
      </w:pPr>
      <w:hyperlink w:anchor="_Toc89070399" w:history="1">
        <w:r w:rsidR="00C93FC6" w:rsidRPr="00C93FC6">
          <w:rPr>
            <w:rStyle w:val="Hyperlink"/>
            <w:noProof/>
            <w:color w:val="auto"/>
            <w:sz w:val="28"/>
            <w:szCs w:val="28"/>
          </w:rPr>
          <w:t>INTRODUCTION</w:t>
        </w:r>
        <w:r w:rsidR="00C93FC6" w:rsidRPr="00C93FC6">
          <w:rPr>
            <w:noProof/>
            <w:webHidden/>
            <w:sz w:val="28"/>
            <w:szCs w:val="28"/>
          </w:rPr>
          <w:tab/>
        </w:r>
        <w:r w:rsidR="00C93FC6" w:rsidRPr="00C93FC6">
          <w:rPr>
            <w:noProof/>
            <w:webHidden/>
            <w:sz w:val="28"/>
            <w:szCs w:val="28"/>
          </w:rPr>
          <w:fldChar w:fldCharType="begin"/>
        </w:r>
        <w:r w:rsidR="00C93FC6" w:rsidRPr="00C93FC6">
          <w:rPr>
            <w:noProof/>
            <w:webHidden/>
            <w:sz w:val="28"/>
            <w:szCs w:val="28"/>
          </w:rPr>
          <w:instrText xml:space="preserve"> PAGEREF _Toc89070399 \h </w:instrText>
        </w:r>
        <w:r w:rsidR="00C93FC6" w:rsidRPr="00C93FC6">
          <w:rPr>
            <w:noProof/>
            <w:webHidden/>
            <w:sz w:val="28"/>
            <w:szCs w:val="28"/>
          </w:rPr>
        </w:r>
        <w:r w:rsidR="00C93FC6" w:rsidRPr="00C93FC6">
          <w:rPr>
            <w:noProof/>
            <w:webHidden/>
            <w:sz w:val="28"/>
            <w:szCs w:val="28"/>
          </w:rPr>
          <w:fldChar w:fldCharType="separate"/>
        </w:r>
        <w:r w:rsidR="00C93FC6" w:rsidRPr="00C93FC6">
          <w:rPr>
            <w:noProof/>
            <w:webHidden/>
            <w:sz w:val="28"/>
            <w:szCs w:val="28"/>
          </w:rPr>
          <w:t>1</w:t>
        </w:r>
        <w:r w:rsidR="00C93FC6" w:rsidRPr="00C93FC6">
          <w:rPr>
            <w:noProof/>
            <w:webHidden/>
            <w:sz w:val="28"/>
            <w:szCs w:val="28"/>
          </w:rPr>
          <w:fldChar w:fldCharType="end"/>
        </w:r>
      </w:hyperlink>
    </w:p>
    <w:p w14:paraId="7DB79517" w14:textId="353FE746" w:rsidR="00C93FC6" w:rsidRPr="00C93FC6" w:rsidRDefault="0016157A">
      <w:pPr>
        <w:pStyle w:val="TOC1"/>
        <w:tabs>
          <w:tab w:val="right" w:leader="dot" w:pos="9678"/>
        </w:tabs>
        <w:rPr>
          <w:rFonts w:eastAsiaTheme="minorEastAsia"/>
          <w:noProof/>
          <w:sz w:val="28"/>
          <w:szCs w:val="28"/>
          <w:lang w:eastAsia="en-CA"/>
        </w:rPr>
      </w:pPr>
      <w:hyperlink w:anchor="_Toc89070400" w:history="1">
        <w:r w:rsidR="00C93FC6" w:rsidRPr="00C93FC6">
          <w:rPr>
            <w:rStyle w:val="Hyperlink"/>
            <w:noProof/>
            <w:color w:val="auto"/>
            <w:sz w:val="28"/>
            <w:szCs w:val="28"/>
          </w:rPr>
          <w:t>Provincial Economic Outlook</w:t>
        </w:r>
        <w:r w:rsidR="00C93FC6" w:rsidRPr="00C93FC6">
          <w:rPr>
            <w:noProof/>
            <w:webHidden/>
            <w:sz w:val="28"/>
            <w:szCs w:val="28"/>
          </w:rPr>
          <w:tab/>
        </w:r>
        <w:r w:rsidR="00C93FC6" w:rsidRPr="00C93FC6">
          <w:rPr>
            <w:noProof/>
            <w:webHidden/>
            <w:sz w:val="28"/>
            <w:szCs w:val="28"/>
          </w:rPr>
          <w:fldChar w:fldCharType="begin"/>
        </w:r>
        <w:r w:rsidR="00C93FC6" w:rsidRPr="00C93FC6">
          <w:rPr>
            <w:noProof/>
            <w:webHidden/>
            <w:sz w:val="28"/>
            <w:szCs w:val="28"/>
          </w:rPr>
          <w:instrText xml:space="preserve"> PAGEREF _Toc89070400 \h </w:instrText>
        </w:r>
        <w:r w:rsidR="00C93FC6" w:rsidRPr="00C93FC6">
          <w:rPr>
            <w:noProof/>
            <w:webHidden/>
            <w:sz w:val="28"/>
            <w:szCs w:val="28"/>
          </w:rPr>
        </w:r>
        <w:r w:rsidR="00C93FC6" w:rsidRPr="00C93FC6">
          <w:rPr>
            <w:noProof/>
            <w:webHidden/>
            <w:sz w:val="28"/>
            <w:szCs w:val="28"/>
          </w:rPr>
          <w:fldChar w:fldCharType="separate"/>
        </w:r>
        <w:r w:rsidR="00C93FC6" w:rsidRPr="00C93FC6">
          <w:rPr>
            <w:noProof/>
            <w:webHidden/>
            <w:sz w:val="28"/>
            <w:szCs w:val="28"/>
          </w:rPr>
          <w:t>2</w:t>
        </w:r>
        <w:r w:rsidR="00C93FC6" w:rsidRPr="00C93FC6">
          <w:rPr>
            <w:noProof/>
            <w:webHidden/>
            <w:sz w:val="28"/>
            <w:szCs w:val="28"/>
          </w:rPr>
          <w:fldChar w:fldCharType="end"/>
        </w:r>
      </w:hyperlink>
    </w:p>
    <w:p w14:paraId="06DF8806" w14:textId="1D6094BC" w:rsidR="00C93FC6" w:rsidRPr="00C93FC6" w:rsidRDefault="0016157A">
      <w:pPr>
        <w:pStyle w:val="TOC1"/>
        <w:tabs>
          <w:tab w:val="right" w:leader="dot" w:pos="9678"/>
        </w:tabs>
        <w:rPr>
          <w:rFonts w:eastAsiaTheme="minorEastAsia"/>
          <w:noProof/>
          <w:sz w:val="28"/>
          <w:szCs w:val="28"/>
          <w:lang w:eastAsia="en-CA"/>
        </w:rPr>
      </w:pPr>
      <w:hyperlink w:anchor="_Toc89070401" w:history="1">
        <w:r w:rsidR="00C93FC6" w:rsidRPr="00C93FC6">
          <w:rPr>
            <w:rStyle w:val="Hyperlink"/>
            <w:noProof/>
            <w:color w:val="auto"/>
            <w:sz w:val="28"/>
            <w:szCs w:val="28"/>
          </w:rPr>
          <w:t>Education</w:t>
        </w:r>
        <w:r w:rsidR="00C93FC6" w:rsidRPr="00C93FC6">
          <w:rPr>
            <w:rStyle w:val="Hyperlink"/>
            <w:noProof/>
            <w:color w:val="auto"/>
            <w:sz w:val="28"/>
            <w:szCs w:val="28"/>
            <w:shd w:val="clear" w:color="auto" w:fill="FFFFFF"/>
          </w:rPr>
          <w:t xml:space="preserve"> Funding</w:t>
        </w:r>
        <w:r w:rsidR="00C93FC6" w:rsidRPr="00C93FC6">
          <w:rPr>
            <w:noProof/>
            <w:webHidden/>
            <w:sz w:val="28"/>
            <w:szCs w:val="28"/>
          </w:rPr>
          <w:tab/>
        </w:r>
        <w:r w:rsidR="00C93FC6" w:rsidRPr="00C93FC6">
          <w:rPr>
            <w:noProof/>
            <w:webHidden/>
            <w:sz w:val="28"/>
            <w:szCs w:val="28"/>
          </w:rPr>
          <w:fldChar w:fldCharType="begin"/>
        </w:r>
        <w:r w:rsidR="00C93FC6" w:rsidRPr="00C93FC6">
          <w:rPr>
            <w:noProof/>
            <w:webHidden/>
            <w:sz w:val="28"/>
            <w:szCs w:val="28"/>
          </w:rPr>
          <w:instrText xml:space="preserve"> PAGEREF _Toc89070401 \h </w:instrText>
        </w:r>
        <w:r w:rsidR="00C93FC6" w:rsidRPr="00C93FC6">
          <w:rPr>
            <w:noProof/>
            <w:webHidden/>
            <w:sz w:val="28"/>
            <w:szCs w:val="28"/>
          </w:rPr>
        </w:r>
        <w:r w:rsidR="00C93FC6" w:rsidRPr="00C93FC6">
          <w:rPr>
            <w:noProof/>
            <w:webHidden/>
            <w:sz w:val="28"/>
            <w:szCs w:val="28"/>
          </w:rPr>
          <w:fldChar w:fldCharType="separate"/>
        </w:r>
        <w:r w:rsidR="00C93FC6" w:rsidRPr="00C93FC6">
          <w:rPr>
            <w:noProof/>
            <w:webHidden/>
            <w:sz w:val="28"/>
            <w:szCs w:val="28"/>
          </w:rPr>
          <w:t>3</w:t>
        </w:r>
        <w:r w:rsidR="00C93FC6" w:rsidRPr="00C93FC6">
          <w:rPr>
            <w:noProof/>
            <w:webHidden/>
            <w:sz w:val="28"/>
            <w:szCs w:val="28"/>
          </w:rPr>
          <w:fldChar w:fldCharType="end"/>
        </w:r>
      </w:hyperlink>
    </w:p>
    <w:p w14:paraId="4871FA9D" w14:textId="16BF5D52" w:rsidR="00C93FC6" w:rsidRPr="00C93FC6" w:rsidRDefault="0016157A">
      <w:pPr>
        <w:pStyle w:val="TOC1"/>
        <w:tabs>
          <w:tab w:val="right" w:leader="dot" w:pos="9678"/>
        </w:tabs>
        <w:rPr>
          <w:rFonts w:eastAsiaTheme="minorEastAsia"/>
          <w:noProof/>
          <w:sz w:val="28"/>
          <w:szCs w:val="28"/>
          <w:lang w:eastAsia="en-CA"/>
        </w:rPr>
      </w:pPr>
      <w:hyperlink w:anchor="_Toc89070402" w:history="1">
        <w:r w:rsidR="00C93FC6" w:rsidRPr="00C93FC6">
          <w:rPr>
            <w:rStyle w:val="Hyperlink"/>
            <w:noProof/>
            <w:color w:val="auto"/>
            <w:sz w:val="28"/>
            <w:szCs w:val="28"/>
          </w:rPr>
          <w:t>Mental Health Supports</w:t>
        </w:r>
        <w:r w:rsidR="00C93FC6" w:rsidRPr="00C93FC6">
          <w:rPr>
            <w:noProof/>
            <w:webHidden/>
            <w:sz w:val="28"/>
            <w:szCs w:val="28"/>
          </w:rPr>
          <w:tab/>
        </w:r>
        <w:r w:rsidR="00C93FC6" w:rsidRPr="00C93FC6">
          <w:rPr>
            <w:noProof/>
            <w:webHidden/>
            <w:sz w:val="28"/>
            <w:szCs w:val="28"/>
          </w:rPr>
          <w:fldChar w:fldCharType="begin"/>
        </w:r>
        <w:r w:rsidR="00C93FC6" w:rsidRPr="00C93FC6">
          <w:rPr>
            <w:noProof/>
            <w:webHidden/>
            <w:sz w:val="28"/>
            <w:szCs w:val="28"/>
          </w:rPr>
          <w:instrText xml:space="preserve"> PAGEREF _Toc89070402 \h </w:instrText>
        </w:r>
        <w:r w:rsidR="00C93FC6" w:rsidRPr="00C93FC6">
          <w:rPr>
            <w:noProof/>
            <w:webHidden/>
            <w:sz w:val="28"/>
            <w:szCs w:val="28"/>
          </w:rPr>
        </w:r>
        <w:r w:rsidR="00C93FC6" w:rsidRPr="00C93FC6">
          <w:rPr>
            <w:noProof/>
            <w:webHidden/>
            <w:sz w:val="28"/>
            <w:szCs w:val="28"/>
          </w:rPr>
          <w:fldChar w:fldCharType="separate"/>
        </w:r>
        <w:r w:rsidR="00C93FC6" w:rsidRPr="00C93FC6">
          <w:rPr>
            <w:noProof/>
            <w:webHidden/>
            <w:sz w:val="28"/>
            <w:szCs w:val="28"/>
          </w:rPr>
          <w:t>7</w:t>
        </w:r>
        <w:r w:rsidR="00C93FC6" w:rsidRPr="00C93FC6">
          <w:rPr>
            <w:noProof/>
            <w:webHidden/>
            <w:sz w:val="28"/>
            <w:szCs w:val="28"/>
          </w:rPr>
          <w:fldChar w:fldCharType="end"/>
        </w:r>
      </w:hyperlink>
    </w:p>
    <w:p w14:paraId="57A827DC" w14:textId="3E380F10" w:rsidR="00C93FC6" w:rsidRPr="00C93FC6" w:rsidRDefault="0016157A">
      <w:pPr>
        <w:pStyle w:val="TOC1"/>
        <w:tabs>
          <w:tab w:val="right" w:leader="dot" w:pos="9678"/>
        </w:tabs>
        <w:rPr>
          <w:rFonts w:eastAsiaTheme="minorEastAsia"/>
          <w:noProof/>
          <w:sz w:val="28"/>
          <w:szCs w:val="28"/>
          <w:lang w:eastAsia="en-CA"/>
        </w:rPr>
      </w:pPr>
      <w:hyperlink w:anchor="_Toc89070403" w:history="1">
        <w:r w:rsidR="00C93FC6" w:rsidRPr="00C93FC6">
          <w:rPr>
            <w:rStyle w:val="Hyperlink"/>
            <w:noProof/>
            <w:color w:val="auto"/>
            <w:sz w:val="28"/>
            <w:szCs w:val="28"/>
          </w:rPr>
          <w:t>Learning Opportunities Grant</w:t>
        </w:r>
        <w:r w:rsidR="00C93FC6" w:rsidRPr="00C93FC6">
          <w:rPr>
            <w:noProof/>
            <w:webHidden/>
            <w:sz w:val="28"/>
            <w:szCs w:val="28"/>
          </w:rPr>
          <w:tab/>
        </w:r>
        <w:r w:rsidR="00C93FC6" w:rsidRPr="00C93FC6">
          <w:rPr>
            <w:noProof/>
            <w:webHidden/>
            <w:sz w:val="28"/>
            <w:szCs w:val="28"/>
          </w:rPr>
          <w:fldChar w:fldCharType="begin"/>
        </w:r>
        <w:r w:rsidR="00C93FC6" w:rsidRPr="00C93FC6">
          <w:rPr>
            <w:noProof/>
            <w:webHidden/>
            <w:sz w:val="28"/>
            <w:szCs w:val="28"/>
          </w:rPr>
          <w:instrText xml:space="preserve"> PAGEREF _Toc89070403 \h </w:instrText>
        </w:r>
        <w:r w:rsidR="00C93FC6" w:rsidRPr="00C93FC6">
          <w:rPr>
            <w:noProof/>
            <w:webHidden/>
            <w:sz w:val="28"/>
            <w:szCs w:val="28"/>
          </w:rPr>
        </w:r>
        <w:r w:rsidR="00C93FC6" w:rsidRPr="00C93FC6">
          <w:rPr>
            <w:noProof/>
            <w:webHidden/>
            <w:sz w:val="28"/>
            <w:szCs w:val="28"/>
          </w:rPr>
          <w:fldChar w:fldCharType="separate"/>
        </w:r>
        <w:r w:rsidR="00C93FC6" w:rsidRPr="00C93FC6">
          <w:rPr>
            <w:noProof/>
            <w:webHidden/>
            <w:sz w:val="28"/>
            <w:szCs w:val="28"/>
          </w:rPr>
          <w:t>11</w:t>
        </w:r>
        <w:r w:rsidR="00C93FC6" w:rsidRPr="00C93FC6">
          <w:rPr>
            <w:noProof/>
            <w:webHidden/>
            <w:sz w:val="28"/>
            <w:szCs w:val="28"/>
          </w:rPr>
          <w:fldChar w:fldCharType="end"/>
        </w:r>
      </w:hyperlink>
    </w:p>
    <w:p w14:paraId="690E000E" w14:textId="55DCB687" w:rsidR="00C93FC6" w:rsidRPr="00C93FC6" w:rsidRDefault="0016157A">
      <w:pPr>
        <w:pStyle w:val="TOC1"/>
        <w:tabs>
          <w:tab w:val="right" w:leader="dot" w:pos="9678"/>
        </w:tabs>
        <w:rPr>
          <w:rFonts w:eastAsiaTheme="minorEastAsia"/>
          <w:noProof/>
          <w:sz w:val="28"/>
          <w:szCs w:val="28"/>
          <w:lang w:eastAsia="en-CA"/>
        </w:rPr>
      </w:pPr>
      <w:hyperlink w:anchor="_Toc89070404" w:history="1">
        <w:r w:rsidR="00C93FC6" w:rsidRPr="00C93FC6">
          <w:rPr>
            <w:rStyle w:val="Hyperlink"/>
            <w:noProof/>
            <w:color w:val="auto"/>
            <w:sz w:val="28"/>
            <w:szCs w:val="28"/>
          </w:rPr>
          <w:t>New Teacher Induction Program</w:t>
        </w:r>
        <w:r w:rsidR="00C93FC6" w:rsidRPr="00C93FC6">
          <w:rPr>
            <w:noProof/>
            <w:webHidden/>
            <w:sz w:val="28"/>
            <w:szCs w:val="28"/>
          </w:rPr>
          <w:tab/>
        </w:r>
        <w:r w:rsidR="00C93FC6" w:rsidRPr="00C93FC6">
          <w:rPr>
            <w:noProof/>
            <w:webHidden/>
            <w:sz w:val="28"/>
            <w:szCs w:val="28"/>
          </w:rPr>
          <w:fldChar w:fldCharType="begin"/>
        </w:r>
        <w:r w:rsidR="00C93FC6" w:rsidRPr="00C93FC6">
          <w:rPr>
            <w:noProof/>
            <w:webHidden/>
            <w:sz w:val="28"/>
            <w:szCs w:val="28"/>
          </w:rPr>
          <w:instrText xml:space="preserve"> PAGEREF _Toc89070404 \h </w:instrText>
        </w:r>
        <w:r w:rsidR="00C93FC6" w:rsidRPr="00C93FC6">
          <w:rPr>
            <w:noProof/>
            <w:webHidden/>
            <w:sz w:val="28"/>
            <w:szCs w:val="28"/>
          </w:rPr>
        </w:r>
        <w:r w:rsidR="00C93FC6" w:rsidRPr="00C93FC6">
          <w:rPr>
            <w:noProof/>
            <w:webHidden/>
            <w:sz w:val="28"/>
            <w:szCs w:val="28"/>
          </w:rPr>
          <w:fldChar w:fldCharType="separate"/>
        </w:r>
        <w:r w:rsidR="00C93FC6" w:rsidRPr="00C93FC6">
          <w:rPr>
            <w:noProof/>
            <w:webHidden/>
            <w:sz w:val="28"/>
            <w:szCs w:val="28"/>
          </w:rPr>
          <w:t>13</w:t>
        </w:r>
        <w:r w:rsidR="00C93FC6" w:rsidRPr="00C93FC6">
          <w:rPr>
            <w:noProof/>
            <w:webHidden/>
            <w:sz w:val="28"/>
            <w:szCs w:val="28"/>
          </w:rPr>
          <w:fldChar w:fldCharType="end"/>
        </w:r>
      </w:hyperlink>
    </w:p>
    <w:p w14:paraId="592510D2" w14:textId="0115A252" w:rsidR="00C93FC6" w:rsidRPr="00C93FC6" w:rsidRDefault="0016157A">
      <w:pPr>
        <w:pStyle w:val="TOC1"/>
        <w:tabs>
          <w:tab w:val="right" w:leader="dot" w:pos="9678"/>
        </w:tabs>
        <w:rPr>
          <w:rFonts w:eastAsiaTheme="minorEastAsia"/>
          <w:noProof/>
          <w:sz w:val="28"/>
          <w:szCs w:val="28"/>
          <w:lang w:eastAsia="en-CA"/>
        </w:rPr>
      </w:pPr>
      <w:hyperlink w:anchor="_Toc89070405" w:history="1">
        <w:r w:rsidR="00C93FC6" w:rsidRPr="00C93FC6">
          <w:rPr>
            <w:rStyle w:val="Hyperlink"/>
            <w:noProof/>
            <w:color w:val="auto"/>
            <w:sz w:val="28"/>
            <w:szCs w:val="28"/>
          </w:rPr>
          <w:t>Support for Students with Special Needs</w:t>
        </w:r>
        <w:r w:rsidR="00C93FC6" w:rsidRPr="00C93FC6">
          <w:rPr>
            <w:noProof/>
            <w:webHidden/>
            <w:sz w:val="28"/>
            <w:szCs w:val="28"/>
          </w:rPr>
          <w:tab/>
        </w:r>
        <w:r w:rsidR="00C93FC6" w:rsidRPr="00C93FC6">
          <w:rPr>
            <w:noProof/>
            <w:webHidden/>
            <w:sz w:val="28"/>
            <w:szCs w:val="28"/>
          </w:rPr>
          <w:fldChar w:fldCharType="begin"/>
        </w:r>
        <w:r w:rsidR="00C93FC6" w:rsidRPr="00C93FC6">
          <w:rPr>
            <w:noProof/>
            <w:webHidden/>
            <w:sz w:val="28"/>
            <w:szCs w:val="28"/>
          </w:rPr>
          <w:instrText xml:space="preserve"> PAGEREF _Toc89070405 \h </w:instrText>
        </w:r>
        <w:r w:rsidR="00C93FC6" w:rsidRPr="00C93FC6">
          <w:rPr>
            <w:noProof/>
            <w:webHidden/>
            <w:sz w:val="28"/>
            <w:szCs w:val="28"/>
          </w:rPr>
        </w:r>
        <w:r w:rsidR="00C93FC6" w:rsidRPr="00C93FC6">
          <w:rPr>
            <w:noProof/>
            <w:webHidden/>
            <w:sz w:val="28"/>
            <w:szCs w:val="28"/>
          </w:rPr>
          <w:fldChar w:fldCharType="separate"/>
        </w:r>
        <w:r w:rsidR="00C93FC6" w:rsidRPr="00C93FC6">
          <w:rPr>
            <w:noProof/>
            <w:webHidden/>
            <w:sz w:val="28"/>
            <w:szCs w:val="28"/>
          </w:rPr>
          <w:t>16</w:t>
        </w:r>
        <w:r w:rsidR="00C93FC6" w:rsidRPr="00C93FC6">
          <w:rPr>
            <w:noProof/>
            <w:webHidden/>
            <w:sz w:val="28"/>
            <w:szCs w:val="28"/>
          </w:rPr>
          <w:fldChar w:fldCharType="end"/>
        </w:r>
      </w:hyperlink>
    </w:p>
    <w:p w14:paraId="7E032C2A" w14:textId="4AB3F3CA" w:rsidR="00C93FC6" w:rsidRPr="00C93FC6" w:rsidRDefault="0016157A">
      <w:pPr>
        <w:pStyle w:val="TOC1"/>
        <w:tabs>
          <w:tab w:val="right" w:leader="dot" w:pos="9678"/>
        </w:tabs>
        <w:rPr>
          <w:rFonts w:eastAsiaTheme="minorEastAsia"/>
          <w:noProof/>
          <w:sz w:val="28"/>
          <w:szCs w:val="28"/>
          <w:lang w:eastAsia="en-CA"/>
        </w:rPr>
      </w:pPr>
      <w:hyperlink w:anchor="_Toc89070406" w:history="1">
        <w:r w:rsidR="00C93FC6" w:rsidRPr="00C93FC6">
          <w:rPr>
            <w:rStyle w:val="Hyperlink"/>
            <w:noProof/>
            <w:color w:val="auto"/>
            <w:sz w:val="28"/>
            <w:szCs w:val="28"/>
          </w:rPr>
          <w:t>Addressing Equity and Combatting Anti-Black Racism</w:t>
        </w:r>
        <w:r w:rsidR="00C93FC6" w:rsidRPr="00C93FC6">
          <w:rPr>
            <w:noProof/>
            <w:webHidden/>
            <w:sz w:val="28"/>
            <w:szCs w:val="28"/>
          </w:rPr>
          <w:tab/>
        </w:r>
        <w:r w:rsidR="00C93FC6" w:rsidRPr="00C93FC6">
          <w:rPr>
            <w:noProof/>
            <w:webHidden/>
            <w:sz w:val="28"/>
            <w:szCs w:val="28"/>
          </w:rPr>
          <w:fldChar w:fldCharType="begin"/>
        </w:r>
        <w:r w:rsidR="00C93FC6" w:rsidRPr="00C93FC6">
          <w:rPr>
            <w:noProof/>
            <w:webHidden/>
            <w:sz w:val="28"/>
            <w:szCs w:val="28"/>
          </w:rPr>
          <w:instrText xml:space="preserve"> PAGEREF _Toc89070406 \h </w:instrText>
        </w:r>
        <w:r w:rsidR="00C93FC6" w:rsidRPr="00C93FC6">
          <w:rPr>
            <w:noProof/>
            <w:webHidden/>
            <w:sz w:val="28"/>
            <w:szCs w:val="28"/>
          </w:rPr>
        </w:r>
        <w:r w:rsidR="00C93FC6" w:rsidRPr="00C93FC6">
          <w:rPr>
            <w:noProof/>
            <w:webHidden/>
            <w:sz w:val="28"/>
            <w:szCs w:val="28"/>
          </w:rPr>
          <w:fldChar w:fldCharType="separate"/>
        </w:r>
        <w:r w:rsidR="00C93FC6" w:rsidRPr="00C93FC6">
          <w:rPr>
            <w:noProof/>
            <w:webHidden/>
            <w:sz w:val="28"/>
            <w:szCs w:val="28"/>
          </w:rPr>
          <w:t>17</w:t>
        </w:r>
        <w:r w:rsidR="00C93FC6" w:rsidRPr="00C93FC6">
          <w:rPr>
            <w:noProof/>
            <w:webHidden/>
            <w:sz w:val="28"/>
            <w:szCs w:val="28"/>
          </w:rPr>
          <w:fldChar w:fldCharType="end"/>
        </w:r>
      </w:hyperlink>
    </w:p>
    <w:p w14:paraId="5AC24C54" w14:textId="1D2B454C" w:rsidR="00C93FC6" w:rsidRPr="00C93FC6" w:rsidRDefault="0016157A">
      <w:pPr>
        <w:pStyle w:val="TOC1"/>
        <w:tabs>
          <w:tab w:val="right" w:leader="dot" w:pos="9678"/>
        </w:tabs>
        <w:rPr>
          <w:rFonts w:eastAsiaTheme="minorEastAsia"/>
          <w:noProof/>
          <w:sz w:val="28"/>
          <w:szCs w:val="28"/>
          <w:lang w:eastAsia="en-CA"/>
        </w:rPr>
      </w:pPr>
      <w:hyperlink w:anchor="_Toc89070407" w:history="1">
        <w:r w:rsidR="00C93FC6" w:rsidRPr="00C93FC6">
          <w:rPr>
            <w:rStyle w:val="Hyperlink"/>
            <w:noProof/>
            <w:color w:val="auto"/>
            <w:sz w:val="28"/>
            <w:szCs w:val="28"/>
          </w:rPr>
          <w:t>Supporting Second Language Programs</w:t>
        </w:r>
        <w:r w:rsidR="00C93FC6" w:rsidRPr="00C93FC6">
          <w:rPr>
            <w:noProof/>
            <w:webHidden/>
            <w:sz w:val="28"/>
            <w:szCs w:val="28"/>
          </w:rPr>
          <w:tab/>
        </w:r>
        <w:r w:rsidR="00C93FC6" w:rsidRPr="00C93FC6">
          <w:rPr>
            <w:noProof/>
            <w:webHidden/>
            <w:sz w:val="28"/>
            <w:szCs w:val="28"/>
          </w:rPr>
          <w:fldChar w:fldCharType="begin"/>
        </w:r>
        <w:r w:rsidR="00C93FC6" w:rsidRPr="00C93FC6">
          <w:rPr>
            <w:noProof/>
            <w:webHidden/>
            <w:sz w:val="28"/>
            <w:szCs w:val="28"/>
          </w:rPr>
          <w:instrText xml:space="preserve"> PAGEREF _Toc89070407 \h </w:instrText>
        </w:r>
        <w:r w:rsidR="00C93FC6" w:rsidRPr="00C93FC6">
          <w:rPr>
            <w:noProof/>
            <w:webHidden/>
            <w:sz w:val="28"/>
            <w:szCs w:val="28"/>
          </w:rPr>
        </w:r>
        <w:r w:rsidR="00C93FC6" w:rsidRPr="00C93FC6">
          <w:rPr>
            <w:noProof/>
            <w:webHidden/>
            <w:sz w:val="28"/>
            <w:szCs w:val="28"/>
          </w:rPr>
          <w:fldChar w:fldCharType="separate"/>
        </w:r>
        <w:r w:rsidR="00C93FC6" w:rsidRPr="00C93FC6">
          <w:rPr>
            <w:noProof/>
            <w:webHidden/>
            <w:sz w:val="28"/>
            <w:szCs w:val="28"/>
          </w:rPr>
          <w:t>19</w:t>
        </w:r>
        <w:r w:rsidR="00C93FC6" w:rsidRPr="00C93FC6">
          <w:rPr>
            <w:noProof/>
            <w:webHidden/>
            <w:sz w:val="28"/>
            <w:szCs w:val="28"/>
          </w:rPr>
          <w:fldChar w:fldCharType="end"/>
        </w:r>
      </w:hyperlink>
    </w:p>
    <w:p w14:paraId="6AF72321" w14:textId="77613CB6" w:rsidR="00C93FC6" w:rsidRPr="00C93FC6" w:rsidRDefault="0016157A">
      <w:pPr>
        <w:pStyle w:val="TOC1"/>
        <w:tabs>
          <w:tab w:val="right" w:leader="dot" w:pos="9678"/>
        </w:tabs>
        <w:rPr>
          <w:rFonts w:eastAsiaTheme="minorEastAsia"/>
          <w:noProof/>
          <w:sz w:val="28"/>
          <w:szCs w:val="28"/>
          <w:lang w:eastAsia="en-CA"/>
        </w:rPr>
      </w:pPr>
      <w:hyperlink w:anchor="_Toc89070408" w:history="1">
        <w:r w:rsidR="00C93FC6" w:rsidRPr="00C93FC6">
          <w:rPr>
            <w:rStyle w:val="Hyperlink"/>
            <w:noProof/>
            <w:color w:val="auto"/>
            <w:sz w:val="28"/>
            <w:szCs w:val="28"/>
          </w:rPr>
          <w:t>RECOMMENDATIONS</w:t>
        </w:r>
        <w:r w:rsidR="00C93FC6" w:rsidRPr="00C93FC6">
          <w:rPr>
            <w:noProof/>
            <w:webHidden/>
            <w:sz w:val="28"/>
            <w:szCs w:val="28"/>
          </w:rPr>
          <w:tab/>
        </w:r>
        <w:r w:rsidR="00C93FC6" w:rsidRPr="00C93FC6">
          <w:rPr>
            <w:noProof/>
            <w:webHidden/>
            <w:sz w:val="28"/>
            <w:szCs w:val="28"/>
          </w:rPr>
          <w:fldChar w:fldCharType="begin"/>
        </w:r>
        <w:r w:rsidR="00C93FC6" w:rsidRPr="00C93FC6">
          <w:rPr>
            <w:noProof/>
            <w:webHidden/>
            <w:sz w:val="28"/>
            <w:szCs w:val="28"/>
          </w:rPr>
          <w:instrText xml:space="preserve"> PAGEREF _Toc89070408 \h </w:instrText>
        </w:r>
        <w:r w:rsidR="00C93FC6" w:rsidRPr="00C93FC6">
          <w:rPr>
            <w:noProof/>
            <w:webHidden/>
            <w:sz w:val="28"/>
            <w:szCs w:val="28"/>
          </w:rPr>
        </w:r>
        <w:r w:rsidR="00C93FC6" w:rsidRPr="00C93FC6">
          <w:rPr>
            <w:noProof/>
            <w:webHidden/>
            <w:sz w:val="28"/>
            <w:szCs w:val="28"/>
          </w:rPr>
          <w:fldChar w:fldCharType="separate"/>
        </w:r>
        <w:r w:rsidR="00C93FC6" w:rsidRPr="00C93FC6">
          <w:rPr>
            <w:noProof/>
            <w:webHidden/>
            <w:sz w:val="28"/>
            <w:szCs w:val="28"/>
          </w:rPr>
          <w:t>21</w:t>
        </w:r>
        <w:r w:rsidR="00C93FC6" w:rsidRPr="00C93FC6">
          <w:rPr>
            <w:noProof/>
            <w:webHidden/>
            <w:sz w:val="28"/>
            <w:szCs w:val="28"/>
          </w:rPr>
          <w:fldChar w:fldCharType="end"/>
        </w:r>
      </w:hyperlink>
    </w:p>
    <w:p w14:paraId="260BA96B" w14:textId="0B6BBB9E" w:rsidR="00C93FC6" w:rsidRPr="00C93FC6" w:rsidRDefault="0016157A">
      <w:pPr>
        <w:pStyle w:val="TOC1"/>
        <w:tabs>
          <w:tab w:val="right" w:leader="dot" w:pos="9678"/>
        </w:tabs>
        <w:rPr>
          <w:rFonts w:eastAsiaTheme="minorEastAsia"/>
          <w:noProof/>
          <w:sz w:val="28"/>
          <w:szCs w:val="28"/>
          <w:lang w:eastAsia="en-CA"/>
        </w:rPr>
      </w:pPr>
      <w:hyperlink w:anchor="_Toc89070409" w:history="1">
        <w:r w:rsidR="00C93FC6" w:rsidRPr="00C93FC6">
          <w:rPr>
            <w:rStyle w:val="Hyperlink"/>
            <w:noProof/>
            <w:color w:val="auto"/>
            <w:sz w:val="28"/>
            <w:szCs w:val="28"/>
          </w:rPr>
          <w:t>SELECTED SOURCES</w:t>
        </w:r>
        <w:r w:rsidR="00C93FC6" w:rsidRPr="00C93FC6">
          <w:rPr>
            <w:noProof/>
            <w:webHidden/>
            <w:sz w:val="28"/>
            <w:szCs w:val="28"/>
          </w:rPr>
          <w:tab/>
        </w:r>
        <w:r w:rsidR="00C93FC6" w:rsidRPr="00C93FC6">
          <w:rPr>
            <w:noProof/>
            <w:webHidden/>
            <w:sz w:val="28"/>
            <w:szCs w:val="28"/>
          </w:rPr>
          <w:fldChar w:fldCharType="begin"/>
        </w:r>
        <w:r w:rsidR="00C93FC6" w:rsidRPr="00C93FC6">
          <w:rPr>
            <w:noProof/>
            <w:webHidden/>
            <w:sz w:val="28"/>
            <w:szCs w:val="28"/>
          </w:rPr>
          <w:instrText xml:space="preserve"> PAGEREF _Toc89070409 \h </w:instrText>
        </w:r>
        <w:r w:rsidR="00C93FC6" w:rsidRPr="00C93FC6">
          <w:rPr>
            <w:noProof/>
            <w:webHidden/>
            <w:sz w:val="28"/>
            <w:szCs w:val="28"/>
          </w:rPr>
        </w:r>
        <w:r w:rsidR="00C93FC6" w:rsidRPr="00C93FC6">
          <w:rPr>
            <w:noProof/>
            <w:webHidden/>
            <w:sz w:val="28"/>
            <w:szCs w:val="28"/>
          </w:rPr>
          <w:fldChar w:fldCharType="separate"/>
        </w:r>
        <w:r w:rsidR="00C93FC6" w:rsidRPr="00C93FC6">
          <w:rPr>
            <w:noProof/>
            <w:webHidden/>
            <w:sz w:val="28"/>
            <w:szCs w:val="28"/>
          </w:rPr>
          <w:t>23</w:t>
        </w:r>
        <w:r w:rsidR="00C93FC6" w:rsidRPr="00C93FC6">
          <w:rPr>
            <w:noProof/>
            <w:webHidden/>
            <w:sz w:val="28"/>
            <w:szCs w:val="28"/>
          </w:rPr>
          <w:fldChar w:fldCharType="end"/>
        </w:r>
      </w:hyperlink>
    </w:p>
    <w:p w14:paraId="3C25C59F" w14:textId="286F2E3C" w:rsidR="006757FF" w:rsidRPr="00527E09" w:rsidRDefault="006757FF" w:rsidP="006757FF">
      <w:r w:rsidRPr="00C93FC6">
        <w:rPr>
          <w:sz w:val="28"/>
          <w:szCs w:val="28"/>
        </w:rPr>
        <w:fldChar w:fldCharType="end"/>
      </w:r>
    </w:p>
    <w:p w14:paraId="46DCACAD" w14:textId="77777777" w:rsidR="00A516D6" w:rsidRPr="00527E09" w:rsidRDefault="00A516D6" w:rsidP="0085066D">
      <w:pPr>
        <w:sectPr w:rsidR="00A516D6" w:rsidRPr="00527E09" w:rsidSect="00F452EB">
          <w:pgSz w:w="12240" w:h="15840"/>
          <w:pgMar w:top="1871" w:right="1140" w:bottom="1701" w:left="1412" w:header="0" w:footer="709" w:gutter="0"/>
          <w:pgNumType w:start="2"/>
          <w:cols w:space="708"/>
          <w:docGrid w:linePitch="360"/>
        </w:sectPr>
      </w:pPr>
      <w:bookmarkStart w:id="12" w:name="_Toc531306862"/>
      <w:bookmarkStart w:id="13" w:name="_Toc531306921"/>
    </w:p>
    <w:p w14:paraId="03AD025B" w14:textId="66CCB012" w:rsidR="009B3D6E" w:rsidRPr="00527E09" w:rsidRDefault="00DB0FE8" w:rsidP="00E62D7E">
      <w:pPr>
        <w:pStyle w:val="Heading1"/>
      </w:pPr>
      <w:bookmarkStart w:id="14" w:name="_Toc534620316"/>
      <w:bookmarkStart w:id="15" w:name="_Toc89070399"/>
      <w:r w:rsidRPr="00527E09">
        <w:lastRenderedPageBreak/>
        <w:t>INTRODUCTION</w:t>
      </w:r>
      <w:bookmarkEnd w:id="12"/>
      <w:bookmarkEnd w:id="13"/>
      <w:bookmarkEnd w:id="14"/>
      <w:bookmarkEnd w:id="15"/>
    </w:p>
    <w:p w14:paraId="6F3E95DC" w14:textId="29C84015" w:rsidR="003E6E86" w:rsidRPr="00527E09" w:rsidRDefault="003E6E86" w:rsidP="00955B40">
      <w:pPr>
        <w:spacing w:line="480" w:lineRule="auto"/>
        <w:rPr>
          <w:rFonts w:cstheme="minorHAnsi"/>
        </w:rPr>
      </w:pPr>
      <w:r w:rsidRPr="00527E09">
        <w:rPr>
          <w:rFonts w:cstheme="minorHAnsi"/>
        </w:rPr>
        <w:t xml:space="preserve">The Elementary Teachers’ Federation of Ontario (ETFO) represents 83,000 public elementary school teachers, occasional teachers, designated early childhood educators, education support personnel and professional support personnel across the province and is the largest teacher </w:t>
      </w:r>
      <w:r w:rsidR="00C86160" w:rsidRPr="00527E09">
        <w:rPr>
          <w:rFonts w:cstheme="minorHAnsi"/>
        </w:rPr>
        <w:t xml:space="preserve">union </w:t>
      </w:r>
      <w:r w:rsidRPr="00527E09">
        <w:rPr>
          <w:rFonts w:cstheme="minorHAnsi"/>
        </w:rPr>
        <w:t xml:space="preserve">in Canada. </w:t>
      </w:r>
    </w:p>
    <w:p w14:paraId="4F081860" w14:textId="388A9F2D" w:rsidR="003E6E86" w:rsidRPr="00527E09" w:rsidRDefault="003E6E86" w:rsidP="00955B40">
      <w:pPr>
        <w:spacing w:line="480" w:lineRule="auto"/>
        <w:rPr>
          <w:rFonts w:cstheme="minorHAnsi"/>
        </w:rPr>
      </w:pPr>
      <w:r w:rsidRPr="00527E09">
        <w:rPr>
          <w:rFonts w:cstheme="minorHAnsi"/>
        </w:rPr>
        <w:t>ETFO is an important stakeholder in the public education system and appreciates the opportunity to</w:t>
      </w:r>
      <w:r w:rsidR="003430FF" w:rsidRPr="00527E09">
        <w:rPr>
          <w:rFonts w:cstheme="minorHAnsi"/>
        </w:rPr>
        <w:t xml:space="preserve"> make a written submission </w:t>
      </w:r>
      <w:r w:rsidR="00DD4744" w:rsidRPr="00527E09">
        <w:rPr>
          <w:rFonts w:cstheme="minorHAnsi"/>
        </w:rPr>
        <w:t xml:space="preserve">to the </w:t>
      </w:r>
      <w:r w:rsidR="009735B3" w:rsidRPr="00527E09">
        <w:rPr>
          <w:rFonts w:cstheme="minorHAnsi"/>
        </w:rPr>
        <w:t xml:space="preserve">Ministry of Education </w:t>
      </w:r>
      <w:r w:rsidR="009E19D4" w:rsidRPr="00527E09">
        <w:rPr>
          <w:rFonts w:cstheme="minorHAnsi"/>
        </w:rPr>
        <w:t xml:space="preserve">in response to the consultations on </w:t>
      </w:r>
      <w:r w:rsidR="00BA7453" w:rsidRPr="00527E09">
        <w:rPr>
          <w:rFonts w:cstheme="minorHAnsi"/>
        </w:rPr>
        <w:t>education funding for the 2022-23 school year.</w:t>
      </w:r>
    </w:p>
    <w:p w14:paraId="0B17C070" w14:textId="024F2AD4" w:rsidR="009D39F2" w:rsidRPr="00527E09" w:rsidRDefault="00D055AC" w:rsidP="009D39F2">
      <w:pPr>
        <w:spacing w:line="480" w:lineRule="auto"/>
        <w:rPr>
          <w:rFonts w:cstheme="minorHAnsi"/>
        </w:rPr>
      </w:pPr>
      <w:r w:rsidRPr="00527E09">
        <w:rPr>
          <w:rFonts w:cstheme="minorHAnsi"/>
        </w:rPr>
        <w:t xml:space="preserve">The ongoing COVID-19 pandemic has created unprecedented challenges for people across the province. </w:t>
      </w:r>
      <w:r w:rsidR="009D39F2" w:rsidRPr="00527E09">
        <w:rPr>
          <w:rFonts w:cstheme="minorHAnsi"/>
        </w:rPr>
        <w:t>While no one has been left untouched by this public health crisis, the pandemic has</w:t>
      </w:r>
      <w:r w:rsidR="00FC0BEB" w:rsidRPr="00527E09">
        <w:rPr>
          <w:rFonts w:cstheme="minorHAnsi"/>
        </w:rPr>
        <w:t xml:space="preserve"> had</w:t>
      </w:r>
      <w:r w:rsidR="009D39F2" w:rsidRPr="00527E09">
        <w:rPr>
          <w:rFonts w:cstheme="minorHAnsi"/>
        </w:rPr>
        <w:t xml:space="preserve"> a disproportionate impact on marginalized communities, including Black, Indigenous, racialized and low-income communities. </w:t>
      </w:r>
      <w:r w:rsidR="000A47EF" w:rsidRPr="00527E09">
        <w:rPr>
          <w:rFonts w:cstheme="minorHAnsi"/>
        </w:rPr>
        <w:t>In its plans for a post-pandemic recovery, Ontario must consider the impact on these communities and invest in the public services necessary to build a more just and equitable province. Those investments must include public education.</w:t>
      </w:r>
    </w:p>
    <w:p w14:paraId="42BB8A04" w14:textId="322AC3E5" w:rsidR="005F5597" w:rsidRPr="00527E09" w:rsidRDefault="00716EC0" w:rsidP="00DE1B79">
      <w:pPr>
        <w:spacing w:line="480" w:lineRule="auto"/>
        <w:rPr>
          <w:rFonts w:cstheme="minorHAnsi"/>
        </w:rPr>
      </w:pPr>
      <w:r w:rsidRPr="00527E09">
        <w:rPr>
          <w:rFonts w:cstheme="minorHAnsi"/>
        </w:rPr>
        <w:t xml:space="preserve">The pandemic has been a reminder of the important role of public schools in our communities and to the overall well-being of students. </w:t>
      </w:r>
      <w:r w:rsidR="00DE1B79" w:rsidRPr="00527E09">
        <w:rPr>
          <w:rFonts w:cstheme="minorHAnsi"/>
        </w:rPr>
        <w:t>T</w:t>
      </w:r>
      <w:r w:rsidR="005F5597" w:rsidRPr="00527E09">
        <w:rPr>
          <w:rFonts w:cstheme="minorHAnsi"/>
        </w:rPr>
        <w:t xml:space="preserve">he pandemic has exacerbated concerns about large class sizes, the poor physical condition of schools, the lack of access to technology and the Internet, and the </w:t>
      </w:r>
      <w:r w:rsidR="00FC0BEB" w:rsidRPr="00527E09">
        <w:rPr>
          <w:rFonts w:cstheme="minorHAnsi"/>
        </w:rPr>
        <w:t xml:space="preserve">government’s </w:t>
      </w:r>
      <w:r w:rsidR="005F5597" w:rsidRPr="00527E09">
        <w:rPr>
          <w:rFonts w:cstheme="minorHAnsi"/>
        </w:rPr>
        <w:t xml:space="preserve">failure to provide appropriate funding to meet the needs of all students, particularly students with special needs, English Language Learners and those from marginalized communities. </w:t>
      </w:r>
      <w:r w:rsidR="00EB66C1" w:rsidRPr="00527E09">
        <w:rPr>
          <w:rFonts w:cstheme="minorHAnsi"/>
        </w:rPr>
        <w:t xml:space="preserve">These concerns were </w:t>
      </w:r>
      <w:r w:rsidR="00C86160" w:rsidRPr="00527E09">
        <w:rPr>
          <w:rFonts w:cstheme="minorHAnsi"/>
          <w:bCs/>
        </w:rPr>
        <w:t>evident even</w:t>
      </w:r>
      <w:r w:rsidR="00EB66C1" w:rsidRPr="00527E09">
        <w:rPr>
          <w:rFonts w:cstheme="minorHAnsi"/>
        </w:rPr>
        <w:t xml:space="preserve"> before the pandemic due to devastating cuts to public education.</w:t>
      </w:r>
    </w:p>
    <w:p w14:paraId="53F1FE54" w14:textId="4E0465ED" w:rsidR="007B1A9D" w:rsidRPr="00527E09" w:rsidRDefault="009D39F2" w:rsidP="00D055AC">
      <w:pPr>
        <w:spacing w:line="480" w:lineRule="auto"/>
        <w:rPr>
          <w:rFonts w:cstheme="minorHAnsi"/>
        </w:rPr>
      </w:pPr>
      <w:r w:rsidRPr="00527E09">
        <w:rPr>
          <w:rFonts w:cstheme="minorHAnsi"/>
        </w:rPr>
        <w:lastRenderedPageBreak/>
        <w:t>Yet, d</w:t>
      </w:r>
      <w:r w:rsidR="00A64A12" w:rsidRPr="00527E09">
        <w:rPr>
          <w:rFonts w:cstheme="minorHAnsi"/>
        </w:rPr>
        <w:t>espite these pre-existing challenges</w:t>
      </w:r>
      <w:r w:rsidR="00F256B7" w:rsidRPr="00527E09">
        <w:rPr>
          <w:rFonts w:cstheme="minorHAnsi"/>
        </w:rPr>
        <w:t>, e</w:t>
      </w:r>
      <w:r w:rsidR="00D055AC" w:rsidRPr="00527E09">
        <w:rPr>
          <w:rFonts w:cstheme="minorHAnsi"/>
        </w:rPr>
        <w:t>ducators have shown incredible resilience and commitment</w:t>
      </w:r>
      <w:r w:rsidRPr="00527E09">
        <w:rPr>
          <w:rFonts w:cstheme="minorHAnsi"/>
        </w:rPr>
        <w:t xml:space="preserve"> throughout the pandemic</w:t>
      </w:r>
      <w:r w:rsidR="00D055AC" w:rsidRPr="00527E09">
        <w:rPr>
          <w:rFonts w:cstheme="minorHAnsi"/>
        </w:rPr>
        <w:t xml:space="preserve">. They </w:t>
      </w:r>
      <w:r w:rsidR="00F256B7" w:rsidRPr="00527E09">
        <w:rPr>
          <w:rFonts w:cstheme="minorHAnsi"/>
        </w:rPr>
        <w:t>have consistently</w:t>
      </w:r>
      <w:r w:rsidR="00D055AC" w:rsidRPr="00527E09">
        <w:rPr>
          <w:rFonts w:cstheme="minorHAnsi"/>
        </w:rPr>
        <w:t xml:space="preserve"> </w:t>
      </w:r>
      <w:r w:rsidR="00F256B7" w:rsidRPr="00527E09">
        <w:rPr>
          <w:rFonts w:cstheme="minorHAnsi"/>
        </w:rPr>
        <w:t>done</w:t>
      </w:r>
      <w:r w:rsidR="00D055AC" w:rsidRPr="00527E09">
        <w:rPr>
          <w:rFonts w:cstheme="minorHAnsi"/>
        </w:rPr>
        <w:t xml:space="preserve"> their </w:t>
      </w:r>
      <w:r w:rsidR="00F256B7" w:rsidRPr="00527E09">
        <w:rPr>
          <w:rFonts w:cstheme="minorHAnsi"/>
        </w:rPr>
        <w:t xml:space="preserve">very </w:t>
      </w:r>
      <w:r w:rsidR="00D055AC" w:rsidRPr="00527E09">
        <w:rPr>
          <w:rFonts w:cstheme="minorHAnsi"/>
        </w:rPr>
        <w:t xml:space="preserve">best to provide their students with high-quality public </w:t>
      </w:r>
      <w:r w:rsidR="00241C98" w:rsidRPr="00527E09">
        <w:rPr>
          <w:rFonts w:cstheme="minorHAnsi"/>
        </w:rPr>
        <w:t>education but</w:t>
      </w:r>
      <w:r w:rsidR="00F256B7" w:rsidRPr="00527E09">
        <w:rPr>
          <w:rFonts w:cstheme="minorHAnsi"/>
        </w:rPr>
        <w:t xml:space="preserve"> have</w:t>
      </w:r>
      <w:r w:rsidR="00C86160" w:rsidRPr="00527E09">
        <w:rPr>
          <w:rFonts w:cstheme="minorHAnsi"/>
        </w:rPr>
        <w:t>,</w:t>
      </w:r>
      <w:r w:rsidR="00F256B7" w:rsidRPr="00527E09">
        <w:rPr>
          <w:rFonts w:cstheme="minorHAnsi"/>
        </w:rPr>
        <w:t xml:space="preserve"> too often</w:t>
      </w:r>
      <w:r w:rsidR="00C86160" w:rsidRPr="00527E09">
        <w:rPr>
          <w:rFonts w:cstheme="minorHAnsi"/>
        </w:rPr>
        <w:t>,</w:t>
      </w:r>
      <w:r w:rsidR="00F256B7" w:rsidRPr="00527E09">
        <w:rPr>
          <w:rFonts w:cstheme="minorHAnsi"/>
        </w:rPr>
        <w:t xml:space="preserve"> felt</w:t>
      </w:r>
      <w:r w:rsidR="00D055AC" w:rsidRPr="00527E09">
        <w:rPr>
          <w:rFonts w:cstheme="minorHAnsi"/>
        </w:rPr>
        <w:t xml:space="preserve"> abandoned by the provincial government.</w:t>
      </w:r>
    </w:p>
    <w:p w14:paraId="0806E514" w14:textId="19D8E7F9" w:rsidR="002B48C5" w:rsidRPr="00527E09" w:rsidRDefault="007B1A9D" w:rsidP="00D055AC">
      <w:pPr>
        <w:spacing w:line="480" w:lineRule="auto"/>
        <w:rPr>
          <w:rFonts w:cstheme="minorHAnsi"/>
        </w:rPr>
      </w:pPr>
      <w:r w:rsidRPr="00527E09">
        <w:rPr>
          <w:rFonts w:cstheme="minorHAnsi"/>
        </w:rPr>
        <w:t xml:space="preserve">In this submission, ETFO will address the themes included in the Ministry’s </w:t>
      </w:r>
      <w:r w:rsidR="006F11FD" w:rsidRPr="00527E09">
        <w:rPr>
          <w:rFonts w:cstheme="minorHAnsi"/>
        </w:rPr>
        <w:t xml:space="preserve">consultation </w:t>
      </w:r>
      <w:r w:rsidR="008D68CC" w:rsidRPr="00527E09">
        <w:rPr>
          <w:rFonts w:cstheme="minorHAnsi"/>
        </w:rPr>
        <w:t>document</w:t>
      </w:r>
      <w:r w:rsidR="006F11FD" w:rsidRPr="00527E09">
        <w:rPr>
          <w:rFonts w:cstheme="minorHAnsi"/>
        </w:rPr>
        <w:t xml:space="preserve"> titled </w:t>
      </w:r>
      <w:r w:rsidR="006F11FD" w:rsidRPr="00527E09">
        <w:rPr>
          <w:rFonts w:cstheme="minorHAnsi"/>
          <w:i/>
          <w:iCs/>
        </w:rPr>
        <w:t>2022-23 Education Funding Guide</w:t>
      </w:r>
      <w:r w:rsidR="006F11FD" w:rsidRPr="00527E09">
        <w:rPr>
          <w:rFonts w:cstheme="minorHAnsi"/>
        </w:rPr>
        <w:t xml:space="preserve">. ETFO will also </w:t>
      </w:r>
      <w:r w:rsidR="00242CFB" w:rsidRPr="00527E09">
        <w:rPr>
          <w:rFonts w:cstheme="minorHAnsi"/>
        </w:rPr>
        <w:t>put forward recommendations that address</w:t>
      </w:r>
      <w:r w:rsidR="006F11FD" w:rsidRPr="00527E09">
        <w:rPr>
          <w:rFonts w:cstheme="minorHAnsi"/>
        </w:rPr>
        <w:t xml:space="preserve"> </w:t>
      </w:r>
      <w:r w:rsidR="00242CFB" w:rsidRPr="00527E09">
        <w:rPr>
          <w:rFonts w:cstheme="minorHAnsi"/>
        </w:rPr>
        <w:t>some other important aspects of Ontario’s</w:t>
      </w:r>
      <w:r w:rsidR="006F11FD" w:rsidRPr="00527E09">
        <w:rPr>
          <w:rFonts w:cstheme="minorHAnsi"/>
        </w:rPr>
        <w:t xml:space="preserve"> public education</w:t>
      </w:r>
      <w:r w:rsidR="00242CFB" w:rsidRPr="00527E09">
        <w:rPr>
          <w:rFonts w:cstheme="minorHAnsi"/>
        </w:rPr>
        <w:t xml:space="preserve"> system. It is ETFO’s hope that the </w:t>
      </w:r>
      <w:r w:rsidR="00E65C93" w:rsidRPr="00527E09">
        <w:rPr>
          <w:rFonts w:cstheme="minorHAnsi"/>
        </w:rPr>
        <w:t>government</w:t>
      </w:r>
      <w:r w:rsidR="00242CFB" w:rsidRPr="00527E09">
        <w:rPr>
          <w:rFonts w:cstheme="minorHAnsi"/>
        </w:rPr>
        <w:t xml:space="preserve"> </w:t>
      </w:r>
      <w:r w:rsidR="00E65C93" w:rsidRPr="00527E09">
        <w:rPr>
          <w:rFonts w:cstheme="minorHAnsi"/>
        </w:rPr>
        <w:t xml:space="preserve">seriously </w:t>
      </w:r>
      <w:r w:rsidR="00242CFB" w:rsidRPr="00527E09">
        <w:rPr>
          <w:rFonts w:cstheme="minorHAnsi"/>
        </w:rPr>
        <w:t>consider</w:t>
      </w:r>
      <w:r w:rsidR="008D68CC" w:rsidRPr="00527E09">
        <w:rPr>
          <w:rFonts w:cstheme="minorHAnsi"/>
        </w:rPr>
        <w:t>s</w:t>
      </w:r>
      <w:r w:rsidR="00242CFB" w:rsidRPr="00527E09">
        <w:rPr>
          <w:rFonts w:cstheme="minorHAnsi"/>
        </w:rPr>
        <w:t xml:space="preserve"> th</w:t>
      </w:r>
      <w:r w:rsidR="00841CD2" w:rsidRPr="00527E09">
        <w:rPr>
          <w:rFonts w:cstheme="minorHAnsi"/>
        </w:rPr>
        <w:t>ese recommendations and</w:t>
      </w:r>
      <w:r w:rsidR="002B48C5" w:rsidRPr="00527E09">
        <w:rPr>
          <w:rFonts w:cstheme="minorHAnsi"/>
        </w:rPr>
        <w:t xml:space="preserve"> begin</w:t>
      </w:r>
      <w:r w:rsidR="00841CD2" w:rsidRPr="00527E09">
        <w:rPr>
          <w:rFonts w:cstheme="minorHAnsi"/>
        </w:rPr>
        <w:t>s</w:t>
      </w:r>
      <w:r w:rsidR="002B48C5" w:rsidRPr="00527E09">
        <w:rPr>
          <w:rFonts w:cstheme="minorHAnsi"/>
        </w:rPr>
        <w:t xml:space="preserve"> to allocate the necessary</w:t>
      </w:r>
      <w:r w:rsidR="00E65C93" w:rsidRPr="00527E09">
        <w:rPr>
          <w:rFonts w:cstheme="minorHAnsi"/>
        </w:rPr>
        <w:t xml:space="preserve"> resources</w:t>
      </w:r>
      <w:r w:rsidR="002B48C5" w:rsidRPr="00527E09">
        <w:rPr>
          <w:rFonts w:cstheme="minorHAnsi"/>
        </w:rPr>
        <w:t xml:space="preserve"> to undo the damage caused by years of funding cuts. Ontario students deserve a high-quality, equitable, inclusive public education system. Investment in this </w:t>
      </w:r>
      <w:r w:rsidR="00841CD2" w:rsidRPr="00527E09">
        <w:rPr>
          <w:rFonts w:cstheme="minorHAnsi"/>
        </w:rPr>
        <w:t xml:space="preserve">world-class </w:t>
      </w:r>
      <w:r w:rsidR="002B48C5" w:rsidRPr="00527E09">
        <w:rPr>
          <w:rFonts w:cstheme="minorHAnsi"/>
        </w:rPr>
        <w:t xml:space="preserve">system </w:t>
      </w:r>
      <w:r w:rsidR="00841CD2" w:rsidRPr="00527E09">
        <w:rPr>
          <w:rFonts w:cstheme="minorHAnsi"/>
        </w:rPr>
        <w:t xml:space="preserve">is the </w:t>
      </w:r>
      <w:r w:rsidR="002B48C5" w:rsidRPr="00527E09">
        <w:rPr>
          <w:rFonts w:cstheme="minorHAnsi"/>
        </w:rPr>
        <w:t xml:space="preserve">key to Ontario’s </w:t>
      </w:r>
      <w:r w:rsidR="00841CD2" w:rsidRPr="00527E09">
        <w:rPr>
          <w:rFonts w:cstheme="minorHAnsi"/>
        </w:rPr>
        <w:t xml:space="preserve">social and </w:t>
      </w:r>
      <w:r w:rsidR="002B48C5" w:rsidRPr="00527E09">
        <w:rPr>
          <w:rFonts w:cstheme="minorHAnsi"/>
        </w:rPr>
        <w:t>economic recovery after the pandemic</w:t>
      </w:r>
      <w:r w:rsidR="00AC0CCD" w:rsidRPr="00527E09">
        <w:rPr>
          <w:rFonts w:cstheme="minorHAnsi"/>
        </w:rPr>
        <w:t>.</w:t>
      </w:r>
    </w:p>
    <w:p w14:paraId="0C2B38DB" w14:textId="77777777" w:rsidR="0090537F" w:rsidRPr="00527E09" w:rsidRDefault="0090537F" w:rsidP="00121337">
      <w:pPr>
        <w:pStyle w:val="Heading1"/>
      </w:pPr>
      <w:bookmarkStart w:id="16" w:name="_Toc89070400"/>
      <w:r w:rsidRPr="00527E09">
        <w:t>Provincial Economic Outlook</w:t>
      </w:r>
      <w:bookmarkEnd w:id="16"/>
      <w:r w:rsidRPr="00527E09">
        <w:t xml:space="preserve"> </w:t>
      </w:r>
    </w:p>
    <w:p w14:paraId="7130D2EB" w14:textId="2DAA0538" w:rsidR="0090537F" w:rsidRPr="00527E09" w:rsidRDefault="0090537F" w:rsidP="00121337">
      <w:pPr>
        <w:spacing w:line="480" w:lineRule="auto"/>
        <w:rPr>
          <w:rFonts w:cstheme="minorHAnsi"/>
        </w:rPr>
      </w:pPr>
      <w:r w:rsidRPr="00527E09">
        <w:rPr>
          <w:rFonts w:cstheme="minorHAnsi"/>
        </w:rPr>
        <w:t xml:space="preserve">The COVID-19 pandemic has placed a glaring spotlight on the challenges faced by the </w:t>
      </w:r>
      <w:r w:rsidR="00841CD2" w:rsidRPr="00527E09">
        <w:rPr>
          <w:rFonts w:cstheme="minorHAnsi"/>
        </w:rPr>
        <w:t>province</w:t>
      </w:r>
      <w:r w:rsidRPr="00527E09">
        <w:rPr>
          <w:rFonts w:cstheme="minorHAnsi"/>
        </w:rPr>
        <w:t>. The COVID-19 pandemic</w:t>
      </w:r>
      <w:r w:rsidR="003009B9" w:rsidRPr="00527E09">
        <w:rPr>
          <w:rFonts w:cstheme="minorHAnsi"/>
        </w:rPr>
        <w:t>,</w:t>
      </w:r>
      <w:r w:rsidR="00BA42C8" w:rsidRPr="00527E09">
        <w:rPr>
          <w:rFonts w:cstheme="minorHAnsi"/>
        </w:rPr>
        <w:t xml:space="preserve"> and the</w:t>
      </w:r>
      <w:r w:rsidR="003009B9" w:rsidRPr="00527E09">
        <w:rPr>
          <w:rFonts w:cstheme="minorHAnsi"/>
        </w:rPr>
        <w:t xml:space="preserve"> </w:t>
      </w:r>
      <w:r w:rsidR="005B1347" w:rsidRPr="00527E09">
        <w:rPr>
          <w:rFonts w:cstheme="minorHAnsi"/>
        </w:rPr>
        <w:t>necessary</w:t>
      </w:r>
      <w:r w:rsidR="00656137" w:rsidRPr="00527E09">
        <w:rPr>
          <w:rFonts w:cstheme="minorHAnsi"/>
        </w:rPr>
        <w:t xml:space="preserve"> </w:t>
      </w:r>
      <w:r w:rsidR="003009B9" w:rsidRPr="00527E09">
        <w:rPr>
          <w:rFonts w:cstheme="minorHAnsi"/>
        </w:rPr>
        <w:t>public health</w:t>
      </w:r>
      <w:r w:rsidR="00BA42C8" w:rsidRPr="00527E09">
        <w:rPr>
          <w:rFonts w:cstheme="minorHAnsi"/>
        </w:rPr>
        <w:t xml:space="preserve"> restrictions</w:t>
      </w:r>
      <w:r w:rsidR="005B1347" w:rsidRPr="00527E09">
        <w:rPr>
          <w:rFonts w:cstheme="minorHAnsi"/>
        </w:rPr>
        <w:t xml:space="preserve"> triggered by it</w:t>
      </w:r>
      <w:r w:rsidR="00656137" w:rsidRPr="00527E09">
        <w:rPr>
          <w:rFonts w:cstheme="minorHAnsi"/>
        </w:rPr>
        <w:t xml:space="preserve">, </w:t>
      </w:r>
      <w:r w:rsidRPr="00527E09">
        <w:rPr>
          <w:rFonts w:cstheme="minorHAnsi"/>
        </w:rPr>
        <w:t>ha</w:t>
      </w:r>
      <w:r w:rsidR="00656137" w:rsidRPr="00527E09">
        <w:rPr>
          <w:rFonts w:cstheme="minorHAnsi"/>
        </w:rPr>
        <w:t>ve</w:t>
      </w:r>
      <w:r w:rsidRPr="00527E09">
        <w:rPr>
          <w:rFonts w:cstheme="minorHAnsi"/>
        </w:rPr>
        <w:t xml:space="preserve"> impacted economies worldwide</w:t>
      </w:r>
      <w:r w:rsidR="00656137" w:rsidRPr="00527E09">
        <w:rPr>
          <w:rFonts w:cstheme="minorHAnsi"/>
        </w:rPr>
        <w:t xml:space="preserve">. </w:t>
      </w:r>
      <w:r w:rsidR="000C7E06" w:rsidRPr="00527E09">
        <w:rPr>
          <w:rFonts w:cstheme="minorHAnsi"/>
        </w:rPr>
        <w:t xml:space="preserve">Various governments have responded with increased </w:t>
      </w:r>
      <w:r w:rsidRPr="00527E09">
        <w:rPr>
          <w:rFonts w:cstheme="minorHAnsi"/>
        </w:rPr>
        <w:t xml:space="preserve">spending and stimulus packages </w:t>
      </w:r>
      <w:r w:rsidR="000C7E06" w:rsidRPr="00527E09">
        <w:rPr>
          <w:rFonts w:cstheme="minorHAnsi"/>
        </w:rPr>
        <w:t>to</w:t>
      </w:r>
      <w:r w:rsidRPr="00527E09">
        <w:rPr>
          <w:rFonts w:cstheme="minorHAnsi"/>
        </w:rPr>
        <w:t xml:space="preserve"> reduce the economic impact </w:t>
      </w:r>
      <w:r w:rsidR="005B1347" w:rsidRPr="00527E09">
        <w:rPr>
          <w:rFonts w:cstheme="minorHAnsi"/>
        </w:rPr>
        <w:t>felt</w:t>
      </w:r>
      <w:r w:rsidRPr="00527E09">
        <w:rPr>
          <w:rFonts w:cstheme="minorHAnsi"/>
        </w:rPr>
        <w:t xml:space="preserve"> by workers. </w:t>
      </w:r>
      <w:r w:rsidR="003B4CC6" w:rsidRPr="00527E09">
        <w:rPr>
          <w:rFonts w:cstheme="minorHAnsi"/>
        </w:rPr>
        <w:t>T</w:t>
      </w:r>
      <w:r w:rsidR="005B1347" w:rsidRPr="00527E09">
        <w:rPr>
          <w:rFonts w:cstheme="minorHAnsi"/>
        </w:rPr>
        <w:t>he</w:t>
      </w:r>
      <w:r w:rsidRPr="00527E09">
        <w:rPr>
          <w:rFonts w:cstheme="minorHAnsi"/>
        </w:rPr>
        <w:t xml:space="preserve"> pandemic is </w:t>
      </w:r>
      <w:r w:rsidR="005B1347" w:rsidRPr="00527E09">
        <w:rPr>
          <w:rFonts w:cstheme="minorHAnsi"/>
        </w:rPr>
        <w:t>not over yet</w:t>
      </w:r>
      <w:r w:rsidRPr="00527E09">
        <w:rPr>
          <w:rFonts w:cstheme="minorHAnsi"/>
        </w:rPr>
        <w:t xml:space="preserve">, </w:t>
      </w:r>
      <w:r w:rsidR="003B4CC6" w:rsidRPr="00527E09">
        <w:rPr>
          <w:rFonts w:cstheme="minorHAnsi"/>
          <w:bCs/>
        </w:rPr>
        <w:t>which means</w:t>
      </w:r>
      <w:r w:rsidR="003B4CC6" w:rsidRPr="00527E09">
        <w:rPr>
          <w:rFonts w:cstheme="minorHAnsi"/>
        </w:rPr>
        <w:t xml:space="preserve"> </w:t>
      </w:r>
      <w:r w:rsidRPr="00527E09">
        <w:rPr>
          <w:rFonts w:cstheme="minorHAnsi"/>
        </w:rPr>
        <w:t xml:space="preserve">governments </w:t>
      </w:r>
      <w:r w:rsidR="00EF5F3D" w:rsidRPr="00527E09">
        <w:rPr>
          <w:rFonts w:cstheme="minorHAnsi"/>
        </w:rPr>
        <w:t>must</w:t>
      </w:r>
      <w:r w:rsidRPr="00527E09">
        <w:rPr>
          <w:rFonts w:cstheme="minorHAnsi"/>
        </w:rPr>
        <w:t xml:space="preserve"> continue to support workers while</w:t>
      </w:r>
      <w:r w:rsidR="003B4CC6" w:rsidRPr="00527E09">
        <w:rPr>
          <w:rFonts w:cstheme="minorHAnsi"/>
        </w:rPr>
        <w:t>,</w:t>
      </w:r>
      <w:r w:rsidRPr="00527E09">
        <w:rPr>
          <w:rFonts w:cstheme="minorHAnsi"/>
        </w:rPr>
        <w:t xml:space="preserve"> at the same time</w:t>
      </w:r>
      <w:r w:rsidR="003B4CC6" w:rsidRPr="00527E09">
        <w:rPr>
          <w:rFonts w:cstheme="minorHAnsi"/>
        </w:rPr>
        <w:t>,</w:t>
      </w:r>
      <w:r w:rsidRPr="00527E09">
        <w:rPr>
          <w:rFonts w:cstheme="minorHAnsi"/>
        </w:rPr>
        <w:t xml:space="preserve"> continue to </w:t>
      </w:r>
      <w:r w:rsidR="006C6582" w:rsidRPr="00527E09">
        <w:rPr>
          <w:rFonts w:cstheme="minorHAnsi"/>
        </w:rPr>
        <w:t>protect</w:t>
      </w:r>
      <w:r w:rsidRPr="00527E09">
        <w:rPr>
          <w:rFonts w:cstheme="minorHAnsi"/>
        </w:rPr>
        <w:t xml:space="preserve"> the public from COVID-19. </w:t>
      </w:r>
    </w:p>
    <w:p w14:paraId="5CC2FB77" w14:textId="52DCFBB1" w:rsidR="00CF49AB" w:rsidRPr="00527E09" w:rsidRDefault="0090537F" w:rsidP="00327DDB">
      <w:pPr>
        <w:spacing w:line="480" w:lineRule="auto"/>
        <w:rPr>
          <w:rFonts w:cstheme="minorHAnsi"/>
        </w:rPr>
      </w:pPr>
      <w:r w:rsidRPr="00527E09">
        <w:rPr>
          <w:rFonts w:cstheme="minorHAnsi"/>
        </w:rPr>
        <w:t xml:space="preserve">The economic data points to recovery over the next four years. To sustain this recovery, the government must invest in </w:t>
      </w:r>
      <w:r w:rsidR="00841CD2" w:rsidRPr="00527E09">
        <w:rPr>
          <w:rFonts w:cstheme="minorHAnsi"/>
        </w:rPr>
        <w:t xml:space="preserve">public </w:t>
      </w:r>
      <w:r w:rsidRPr="00527E09">
        <w:rPr>
          <w:rFonts w:cstheme="minorHAnsi"/>
        </w:rPr>
        <w:t xml:space="preserve">education and in </w:t>
      </w:r>
      <w:r w:rsidR="00841CD2" w:rsidRPr="00527E09">
        <w:rPr>
          <w:rFonts w:cstheme="minorHAnsi"/>
        </w:rPr>
        <w:t xml:space="preserve">its </w:t>
      </w:r>
      <w:r w:rsidRPr="00527E09">
        <w:rPr>
          <w:rFonts w:cstheme="minorHAnsi"/>
        </w:rPr>
        <w:t>public sector. While Ontario</w:t>
      </w:r>
      <w:r w:rsidR="003B4CC6" w:rsidRPr="00527E09">
        <w:rPr>
          <w:rFonts w:cstheme="minorHAnsi"/>
          <w:bCs/>
        </w:rPr>
        <w:t>’s</w:t>
      </w:r>
      <w:r w:rsidRPr="00527E09">
        <w:rPr>
          <w:rFonts w:cstheme="minorHAnsi"/>
          <w:bCs/>
        </w:rPr>
        <w:t xml:space="preserve"> </w:t>
      </w:r>
      <w:r w:rsidRPr="00527E09">
        <w:rPr>
          <w:rFonts w:cstheme="minorHAnsi"/>
        </w:rPr>
        <w:t>economy contracted by 5.1</w:t>
      </w:r>
      <w:r w:rsidR="006F6C48" w:rsidRPr="00527E09">
        <w:rPr>
          <w:rFonts w:cstheme="minorHAnsi"/>
        </w:rPr>
        <w:t xml:space="preserve"> per cent</w:t>
      </w:r>
      <w:r w:rsidRPr="00527E09">
        <w:rPr>
          <w:rFonts w:cstheme="minorHAnsi"/>
        </w:rPr>
        <w:t xml:space="preserve"> in 2020, the current outlook for Ontario in 2022 and beyond is positive news for </w:t>
      </w:r>
      <w:r w:rsidR="00576D24" w:rsidRPr="00527E09">
        <w:rPr>
          <w:rFonts w:cstheme="minorHAnsi"/>
        </w:rPr>
        <w:t>the province</w:t>
      </w:r>
      <w:r w:rsidRPr="00527E09">
        <w:rPr>
          <w:rFonts w:cstheme="minorHAnsi"/>
          <w:vertAlign w:val="superscript"/>
        </w:rPr>
        <w:footnoteReference w:id="1"/>
      </w:r>
      <w:r w:rsidRPr="00527E09">
        <w:rPr>
          <w:rFonts w:cstheme="minorHAnsi"/>
        </w:rPr>
        <w:t xml:space="preserve"> (See Table 1). </w:t>
      </w:r>
      <w:r w:rsidRPr="00527E09">
        <w:rPr>
          <w:rFonts w:cstheme="minorHAnsi"/>
        </w:rPr>
        <w:lastRenderedPageBreak/>
        <w:t xml:space="preserve">With a path to economic recovery and growth, now is the time for the government to increase spending in </w:t>
      </w:r>
      <w:r w:rsidR="00405E82" w:rsidRPr="00527E09">
        <w:rPr>
          <w:rFonts w:cstheme="minorHAnsi"/>
        </w:rPr>
        <w:t xml:space="preserve">public </w:t>
      </w:r>
      <w:r w:rsidRPr="00527E09">
        <w:rPr>
          <w:rFonts w:cstheme="minorHAnsi"/>
        </w:rPr>
        <w:t>education</w:t>
      </w:r>
      <w:r w:rsidR="003B4504" w:rsidRPr="00527E09">
        <w:rPr>
          <w:rFonts w:cstheme="minorHAnsi"/>
        </w:rPr>
        <w:t>.</w:t>
      </w:r>
    </w:p>
    <w:p w14:paraId="37F6E6C7" w14:textId="77777777" w:rsidR="0090537F" w:rsidRPr="00527E09" w:rsidRDefault="0090537F" w:rsidP="004F0093">
      <w:pPr>
        <w:pStyle w:val="Heading3"/>
        <w:rPr>
          <w:lang w:val="en-US"/>
        </w:rPr>
      </w:pPr>
      <w:r w:rsidRPr="00527E09">
        <w:rPr>
          <w:lang w:val="en-US"/>
        </w:rPr>
        <w:t>Table 1: Ontario’s Economic Growth, Real GDP (%)</w:t>
      </w:r>
    </w:p>
    <w:p w14:paraId="6F45FB35" w14:textId="09108DD1" w:rsidR="004F0093" w:rsidRPr="00527E09" w:rsidRDefault="004F0093" w:rsidP="003B4504">
      <w:pPr>
        <w:tabs>
          <w:tab w:val="left" w:pos="1951"/>
          <w:tab w:val="left" w:pos="2187"/>
          <w:tab w:val="left" w:pos="2850"/>
          <w:tab w:val="left" w:pos="3513"/>
          <w:tab w:val="left" w:pos="4176"/>
          <w:tab w:val="left" w:pos="4839"/>
          <w:tab w:val="left" w:pos="5502"/>
          <w:tab w:val="left" w:pos="6165"/>
          <w:tab w:val="left" w:pos="6828"/>
          <w:tab w:val="left" w:pos="7609"/>
          <w:tab w:val="left" w:pos="8390"/>
          <w:tab w:val="left" w:pos="9171"/>
        </w:tabs>
        <w:ind w:left="113"/>
        <w:rPr>
          <w:b/>
          <w:bCs/>
          <w:lang w:eastAsia="en-CA"/>
        </w:rPr>
      </w:pPr>
      <w:r w:rsidRPr="00527E09">
        <w:rPr>
          <w:b/>
          <w:bCs/>
          <w:lang w:eastAsia="en-CA"/>
        </w:rPr>
        <w:t>2014</w:t>
      </w:r>
      <w:r w:rsidRPr="00527E09">
        <w:rPr>
          <w:rFonts w:ascii="Calibri" w:hAnsi="Calibri"/>
          <w:b/>
          <w:bCs/>
          <w:lang w:eastAsia="en-CA"/>
        </w:rPr>
        <w:tab/>
      </w:r>
      <w:r w:rsidRPr="00527E09">
        <w:rPr>
          <w:b/>
          <w:bCs/>
          <w:lang w:eastAsia="en-CA"/>
        </w:rPr>
        <w:t>2015</w:t>
      </w:r>
      <w:r w:rsidRPr="00527E09">
        <w:rPr>
          <w:b/>
          <w:bCs/>
          <w:lang w:eastAsia="en-CA"/>
        </w:rPr>
        <w:tab/>
        <w:t>2016</w:t>
      </w:r>
      <w:r w:rsidRPr="00527E09">
        <w:rPr>
          <w:b/>
          <w:bCs/>
          <w:lang w:eastAsia="en-CA"/>
        </w:rPr>
        <w:tab/>
        <w:t>2017</w:t>
      </w:r>
      <w:r w:rsidRPr="00527E09">
        <w:rPr>
          <w:b/>
          <w:bCs/>
          <w:lang w:eastAsia="en-CA"/>
        </w:rPr>
        <w:tab/>
        <w:t>2018</w:t>
      </w:r>
      <w:r w:rsidRPr="00527E09">
        <w:rPr>
          <w:b/>
          <w:bCs/>
          <w:lang w:eastAsia="en-CA"/>
        </w:rPr>
        <w:tab/>
        <w:t>2019</w:t>
      </w:r>
      <w:r w:rsidRPr="00527E09">
        <w:rPr>
          <w:b/>
          <w:bCs/>
          <w:lang w:eastAsia="en-CA"/>
        </w:rPr>
        <w:tab/>
        <w:t>2020</w:t>
      </w:r>
      <w:r w:rsidRPr="00527E09">
        <w:rPr>
          <w:b/>
          <w:bCs/>
          <w:lang w:eastAsia="en-CA"/>
        </w:rPr>
        <w:tab/>
        <w:t>2021p</w:t>
      </w:r>
      <w:r w:rsidRPr="00527E09">
        <w:rPr>
          <w:b/>
          <w:bCs/>
          <w:lang w:eastAsia="en-CA"/>
        </w:rPr>
        <w:tab/>
        <w:t>2022p</w:t>
      </w:r>
      <w:r w:rsidRPr="00527E09">
        <w:rPr>
          <w:b/>
          <w:bCs/>
          <w:lang w:eastAsia="en-CA"/>
        </w:rPr>
        <w:tab/>
        <w:t>2023p</w:t>
      </w:r>
      <w:r w:rsidRPr="00527E09">
        <w:rPr>
          <w:b/>
          <w:bCs/>
          <w:lang w:eastAsia="en-CA"/>
        </w:rPr>
        <w:tab/>
        <w:t>2024p</w:t>
      </w:r>
    </w:p>
    <w:p w14:paraId="0EE0E536" w14:textId="77777777" w:rsidR="004F0093" w:rsidRPr="00527E09" w:rsidRDefault="004F0093" w:rsidP="003B4504">
      <w:pPr>
        <w:tabs>
          <w:tab w:val="left" w:pos="1951"/>
          <w:tab w:val="left" w:pos="2187"/>
          <w:tab w:val="left" w:pos="2850"/>
          <w:tab w:val="left" w:pos="3513"/>
          <w:tab w:val="left" w:pos="4176"/>
          <w:tab w:val="left" w:pos="4839"/>
          <w:tab w:val="left" w:pos="5502"/>
          <w:tab w:val="left" w:pos="6165"/>
          <w:tab w:val="left" w:pos="6828"/>
          <w:tab w:val="left" w:pos="7609"/>
          <w:tab w:val="left" w:pos="8390"/>
          <w:tab w:val="left" w:pos="9171"/>
        </w:tabs>
        <w:ind w:left="113"/>
        <w:rPr>
          <w:b/>
          <w:bCs/>
          <w:lang w:eastAsia="en-CA"/>
        </w:rPr>
      </w:pPr>
      <w:r w:rsidRPr="00527E09">
        <w:rPr>
          <w:b/>
          <w:bCs/>
          <w:lang w:eastAsia="en-CA"/>
        </w:rPr>
        <w:t>Ontario Real GDP Growth (%)</w:t>
      </w:r>
      <w:r w:rsidRPr="00527E09">
        <w:rPr>
          <w:b/>
          <w:bCs/>
          <w:lang w:eastAsia="en-CA"/>
        </w:rPr>
        <w:tab/>
      </w:r>
      <w:r w:rsidRPr="00527E09">
        <w:rPr>
          <w:b/>
          <w:bCs/>
          <w:lang w:eastAsia="en-CA"/>
        </w:rPr>
        <w:tab/>
      </w:r>
    </w:p>
    <w:p w14:paraId="6AC31F08" w14:textId="5B1D5208" w:rsidR="004F0093" w:rsidRPr="00527E09" w:rsidRDefault="004F0093" w:rsidP="003B4504">
      <w:pPr>
        <w:tabs>
          <w:tab w:val="left" w:pos="1951"/>
          <w:tab w:val="left" w:pos="2187"/>
          <w:tab w:val="left" w:pos="2850"/>
          <w:tab w:val="left" w:pos="3513"/>
          <w:tab w:val="left" w:pos="4176"/>
          <w:tab w:val="left" w:pos="4839"/>
          <w:tab w:val="left" w:pos="5502"/>
          <w:tab w:val="left" w:pos="6165"/>
          <w:tab w:val="left" w:pos="6828"/>
          <w:tab w:val="left" w:pos="7609"/>
          <w:tab w:val="left" w:pos="8390"/>
          <w:tab w:val="left" w:pos="9171"/>
        </w:tabs>
        <w:ind w:left="113"/>
        <w:rPr>
          <w:lang w:eastAsia="en-CA"/>
        </w:rPr>
      </w:pPr>
      <w:r w:rsidRPr="00527E09">
        <w:rPr>
          <w:lang w:eastAsia="en-CA"/>
        </w:rPr>
        <w:t>2.7</w:t>
      </w:r>
      <w:r w:rsidRPr="00527E09">
        <w:rPr>
          <w:rFonts w:ascii="Calibri" w:hAnsi="Calibri"/>
          <w:lang w:eastAsia="en-CA"/>
        </w:rPr>
        <w:tab/>
      </w:r>
      <w:r w:rsidRPr="00527E09">
        <w:rPr>
          <w:lang w:eastAsia="en-CA"/>
        </w:rPr>
        <w:t>2.9</w:t>
      </w:r>
      <w:r w:rsidRPr="00527E09">
        <w:rPr>
          <w:lang w:eastAsia="en-CA"/>
        </w:rPr>
        <w:tab/>
        <w:t>2.3</w:t>
      </w:r>
      <w:r w:rsidRPr="00527E09">
        <w:rPr>
          <w:lang w:eastAsia="en-CA"/>
        </w:rPr>
        <w:tab/>
        <w:t>2.8</w:t>
      </w:r>
      <w:r w:rsidRPr="00527E09">
        <w:rPr>
          <w:lang w:eastAsia="en-CA"/>
        </w:rPr>
        <w:tab/>
        <w:t>2.2</w:t>
      </w:r>
      <w:r w:rsidRPr="00527E09">
        <w:rPr>
          <w:lang w:eastAsia="en-CA"/>
        </w:rPr>
        <w:tab/>
        <w:t>2.1</w:t>
      </w:r>
      <w:r w:rsidRPr="00527E09">
        <w:rPr>
          <w:lang w:eastAsia="en-CA"/>
        </w:rPr>
        <w:tab/>
        <w:t>-5.1</w:t>
      </w:r>
      <w:r w:rsidRPr="00527E09">
        <w:rPr>
          <w:lang w:eastAsia="en-CA"/>
        </w:rPr>
        <w:tab/>
        <w:t>4.3</w:t>
      </w:r>
      <w:r w:rsidRPr="00527E09">
        <w:rPr>
          <w:lang w:eastAsia="en-CA"/>
        </w:rPr>
        <w:tab/>
        <w:t>4.5</w:t>
      </w:r>
      <w:r w:rsidRPr="00527E09">
        <w:rPr>
          <w:lang w:eastAsia="en-CA"/>
        </w:rPr>
        <w:tab/>
        <w:t>2.6</w:t>
      </w:r>
      <w:r w:rsidRPr="00527E09">
        <w:rPr>
          <w:lang w:eastAsia="en-CA"/>
        </w:rPr>
        <w:tab/>
        <w:t>2.0</w:t>
      </w:r>
    </w:p>
    <w:p w14:paraId="32F49D43" w14:textId="77777777" w:rsidR="0090537F" w:rsidRPr="00527E09" w:rsidRDefault="0090537F" w:rsidP="00EB09CF">
      <w:pPr>
        <w:rPr>
          <w:sz w:val="18"/>
          <w:szCs w:val="18"/>
          <w:lang w:val="en-US"/>
        </w:rPr>
      </w:pPr>
      <w:r w:rsidRPr="00527E09">
        <w:rPr>
          <w:sz w:val="18"/>
          <w:szCs w:val="18"/>
          <w:lang w:val="en-US"/>
        </w:rPr>
        <w:t>Source: Ministry of Finance, Government of Ontario</w:t>
      </w:r>
      <w:r w:rsidRPr="00527E09">
        <w:rPr>
          <w:rStyle w:val="FootnoteReference"/>
          <w:sz w:val="18"/>
          <w:szCs w:val="18"/>
          <w:lang w:val="en-US"/>
        </w:rPr>
        <w:footnoteReference w:id="2"/>
      </w:r>
      <w:r w:rsidRPr="00527E09">
        <w:rPr>
          <w:sz w:val="18"/>
          <w:szCs w:val="18"/>
          <w:lang w:val="en-US"/>
        </w:rPr>
        <w:br/>
        <w:t>p = Ontario Ministry of Finance planning projection based on external sources.</w:t>
      </w:r>
    </w:p>
    <w:p w14:paraId="2152D7B2" w14:textId="77777777" w:rsidR="0090537F" w:rsidRPr="00527E09" w:rsidRDefault="0090537F" w:rsidP="004F0093">
      <w:pPr>
        <w:pStyle w:val="Heading1"/>
        <w:rPr>
          <w:shd w:val="clear" w:color="auto" w:fill="FFFFFF"/>
        </w:rPr>
      </w:pPr>
      <w:bookmarkStart w:id="17" w:name="_Toc89070401"/>
      <w:r w:rsidRPr="00527E09">
        <w:t>Education</w:t>
      </w:r>
      <w:r w:rsidRPr="00527E09">
        <w:rPr>
          <w:shd w:val="clear" w:color="auto" w:fill="FFFFFF"/>
        </w:rPr>
        <w:t xml:space="preserve"> Funding</w:t>
      </w:r>
      <w:bookmarkEnd w:id="17"/>
    </w:p>
    <w:p w14:paraId="20A8B26C" w14:textId="4CC32EFB" w:rsidR="00A51504" w:rsidRPr="00527E09" w:rsidRDefault="0090537F" w:rsidP="00DB64C5">
      <w:pPr>
        <w:spacing w:line="480" w:lineRule="auto"/>
        <w:rPr>
          <w:rFonts w:cstheme="minorHAnsi"/>
        </w:rPr>
      </w:pPr>
      <w:r w:rsidRPr="00527E09">
        <w:rPr>
          <w:rFonts w:cstheme="minorHAnsi"/>
        </w:rPr>
        <w:t xml:space="preserve">Over the past decade, teachers and other educators have done their part in responding to the fiscal pressures created by the </w:t>
      </w:r>
      <w:r w:rsidR="002F4FE6" w:rsidRPr="00527E09">
        <w:rPr>
          <w:rFonts w:cstheme="minorHAnsi"/>
        </w:rPr>
        <w:t>province</w:t>
      </w:r>
      <w:r w:rsidRPr="00527E09">
        <w:rPr>
          <w:rFonts w:cstheme="minorHAnsi"/>
        </w:rPr>
        <w:t xml:space="preserve">. In October 2019, the </w:t>
      </w:r>
      <w:r w:rsidR="000419DC" w:rsidRPr="00527E09">
        <w:t>Financial Accountability Office</w:t>
      </w:r>
      <w:r w:rsidR="000419DC" w:rsidRPr="00527E09">
        <w:rPr>
          <w:rFonts w:cstheme="minorHAnsi"/>
        </w:rPr>
        <w:t xml:space="preserve"> (</w:t>
      </w:r>
      <w:r w:rsidRPr="00527E09">
        <w:rPr>
          <w:rFonts w:cstheme="minorHAnsi"/>
        </w:rPr>
        <w:t>FAO</w:t>
      </w:r>
      <w:r w:rsidR="000419DC" w:rsidRPr="00527E09">
        <w:rPr>
          <w:rFonts w:cstheme="minorHAnsi"/>
        </w:rPr>
        <w:t>)</w:t>
      </w:r>
      <w:r w:rsidRPr="00527E09">
        <w:rPr>
          <w:rFonts w:cstheme="minorHAnsi"/>
        </w:rPr>
        <w:t xml:space="preserve"> looked at compensation growth in the public education system. It found that between 2010 and 2018 teacher base salary grew on average by 0.9 per cent, while wage growth in the private sector grew by 1.8 per cent</w:t>
      </w:r>
      <w:r w:rsidR="004D4BC3" w:rsidRPr="00527E09">
        <w:rPr>
          <w:rFonts w:cstheme="minorHAnsi"/>
        </w:rPr>
        <w:t>.</w:t>
      </w:r>
      <w:r w:rsidRPr="00527E09">
        <w:rPr>
          <w:rFonts w:cstheme="minorHAnsi"/>
          <w:vertAlign w:val="superscript"/>
        </w:rPr>
        <w:footnoteReference w:id="3"/>
      </w:r>
      <w:r w:rsidRPr="00527E09">
        <w:rPr>
          <w:rFonts w:cstheme="minorHAnsi"/>
        </w:rPr>
        <w:t xml:space="preserve"> </w:t>
      </w:r>
      <w:r w:rsidR="00A51504" w:rsidRPr="00527E09">
        <w:rPr>
          <w:rFonts w:cstheme="minorHAnsi"/>
        </w:rPr>
        <w:t xml:space="preserve">Despite this, </w:t>
      </w:r>
      <w:r w:rsidR="001949FE" w:rsidRPr="00527E09">
        <w:rPr>
          <w:rFonts w:cstheme="minorHAnsi"/>
        </w:rPr>
        <w:t xml:space="preserve">in </w:t>
      </w:r>
      <w:r w:rsidR="00C31CF3" w:rsidRPr="00527E09">
        <w:rPr>
          <w:rFonts w:cstheme="minorHAnsi"/>
        </w:rPr>
        <w:t>2019</w:t>
      </w:r>
      <w:r w:rsidR="001949FE" w:rsidRPr="00527E09">
        <w:rPr>
          <w:rFonts w:cstheme="minorHAnsi"/>
        </w:rPr>
        <w:t xml:space="preserve"> the government </w:t>
      </w:r>
      <w:r w:rsidR="00B51825" w:rsidRPr="00527E09">
        <w:rPr>
          <w:rFonts w:cstheme="minorHAnsi"/>
        </w:rPr>
        <w:t>adopted Bill 124 which limited compensation growth for public sector workers to 1 per cent annually.</w:t>
      </w:r>
      <w:r w:rsidR="00E77817" w:rsidRPr="00527E09">
        <w:rPr>
          <w:rFonts w:cstheme="minorHAnsi"/>
        </w:rPr>
        <w:t xml:space="preserve"> This legislation, which </w:t>
      </w:r>
      <w:r w:rsidR="00D11EF2" w:rsidRPr="00527E09">
        <w:rPr>
          <w:rFonts w:cstheme="minorHAnsi"/>
        </w:rPr>
        <w:t xml:space="preserve">ETFO and others believe </w:t>
      </w:r>
      <w:r w:rsidR="00E77817" w:rsidRPr="00527E09">
        <w:rPr>
          <w:rFonts w:cstheme="minorHAnsi"/>
        </w:rPr>
        <w:t>is unconstitutional, disproportionally impacts workers earning lower incomes</w:t>
      </w:r>
      <w:r w:rsidR="00F67ACB" w:rsidRPr="00527E09">
        <w:rPr>
          <w:rFonts w:cstheme="minorHAnsi"/>
        </w:rPr>
        <w:t xml:space="preserve"> in professions where women </w:t>
      </w:r>
      <w:r w:rsidR="009770E9" w:rsidRPr="00527E09">
        <w:rPr>
          <w:rFonts w:cstheme="minorHAnsi"/>
        </w:rPr>
        <w:t>are overrepresented,</w:t>
      </w:r>
      <w:r w:rsidR="00E77817" w:rsidRPr="00527E09">
        <w:rPr>
          <w:rFonts w:cstheme="minorHAnsi"/>
        </w:rPr>
        <w:t xml:space="preserve"> including early childhood educators and daily occasional teachers. As a result of Bill 124, the salary increases for </w:t>
      </w:r>
      <w:r w:rsidR="003B4CC6" w:rsidRPr="00527E09">
        <w:rPr>
          <w:rFonts w:cstheme="minorHAnsi"/>
        </w:rPr>
        <w:t xml:space="preserve">teachers and education workers </w:t>
      </w:r>
      <w:r w:rsidR="00AA1CEC" w:rsidRPr="00527E09">
        <w:rPr>
          <w:rFonts w:cstheme="minorHAnsi"/>
        </w:rPr>
        <w:t>have</w:t>
      </w:r>
      <w:r w:rsidR="00026AC5" w:rsidRPr="00527E09">
        <w:rPr>
          <w:rFonts w:cstheme="minorHAnsi"/>
        </w:rPr>
        <w:t xml:space="preserve"> been capped at 1 per cent from 2019 until 2022 and </w:t>
      </w:r>
      <w:r w:rsidR="00AA1CEC" w:rsidRPr="00527E09">
        <w:rPr>
          <w:rFonts w:cstheme="minorHAnsi"/>
        </w:rPr>
        <w:t>have</w:t>
      </w:r>
      <w:r w:rsidR="00026AC5" w:rsidRPr="00527E09">
        <w:rPr>
          <w:rFonts w:cstheme="minorHAnsi"/>
        </w:rPr>
        <w:t xml:space="preserve"> been </w:t>
      </w:r>
      <w:r w:rsidR="003D74A9" w:rsidRPr="00527E09">
        <w:rPr>
          <w:rFonts w:cstheme="minorHAnsi"/>
        </w:rPr>
        <w:t>easily surpassed by inflation.</w:t>
      </w:r>
    </w:p>
    <w:p w14:paraId="20FB35D1" w14:textId="76EE2382" w:rsidR="003B4CC6" w:rsidRPr="00527E09" w:rsidRDefault="0090537F" w:rsidP="00DB64C5">
      <w:pPr>
        <w:spacing w:line="480" w:lineRule="auto"/>
        <w:rPr>
          <w:rFonts w:cstheme="minorHAnsi"/>
        </w:rPr>
      </w:pPr>
      <w:r w:rsidRPr="00527E09">
        <w:rPr>
          <w:rFonts w:cstheme="minorHAnsi"/>
        </w:rPr>
        <w:lastRenderedPageBreak/>
        <w:t xml:space="preserve">While Ontario’s economy </w:t>
      </w:r>
      <w:r w:rsidR="003F676E" w:rsidRPr="00527E09">
        <w:rPr>
          <w:rFonts w:cstheme="minorHAnsi"/>
        </w:rPr>
        <w:t>appears to be</w:t>
      </w:r>
      <w:r w:rsidRPr="00527E09">
        <w:rPr>
          <w:rFonts w:cstheme="minorHAnsi"/>
        </w:rPr>
        <w:t xml:space="preserve"> on a path to economic recovery, the government delivered its fall economic statement void of any mention of </w:t>
      </w:r>
      <w:r w:rsidR="003F676E" w:rsidRPr="00527E09">
        <w:rPr>
          <w:rFonts w:cstheme="minorHAnsi"/>
        </w:rPr>
        <w:t xml:space="preserve">public </w:t>
      </w:r>
      <w:r w:rsidRPr="00527E09">
        <w:rPr>
          <w:rFonts w:cstheme="minorHAnsi"/>
        </w:rPr>
        <w:t xml:space="preserve">education, proving once again that Ontario’s students and educators are not a priority for this government. </w:t>
      </w:r>
    </w:p>
    <w:p w14:paraId="70EDC892" w14:textId="7D776523" w:rsidR="0090537F" w:rsidRPr="00527E09" w:rsidRDefault="0090537F" w:rsidP="00DB64C5">
      <w:pPr>
        <w:spacing w:line="480" w:lineRule="auto"/>
        <w:rPr>
          <w:rFonts w:cstheme="minorHAnsi"/>
        </w:rPr>
      </w:pPr>
      <w:r w:rsidRPr="00527E09">
        <w:rPr>
          <w:rFonts w:cstheme="minorHAnsi"/>
        </w:rPr>
        <w:t xml:space="preserve">The fall economic statement cut $467 million dollars </w:t>
      </w:r>
      <w:r w:rsidR="000419DC" w:rsidRPr="00527E09">
        <w:rPr>
          <w:rFonts w:cstheme="minorHAnsi"/>
        </w:rPr>
        <w:t xml:space="preserve">from </w:t>
      </w:r>
      <w:r w:rsidRPr="00527E09">
        <w:rPr>
          <w:rFonts w:cstheme="minorHAnsi"/>
        </w:rPr>
        <w:t xml:space="preserve">the </w:t>
      </w:r>
      <w:r w:rsidR="003F676E" w:rsidRPr="00527E09">
        <w:rPr>
          <w:rFonts w:cstheme="minorHAnsi"/>
        </w:rPr>
        <w:t xml:space="preserve">public </w:t>
      </w:r>
      <w:r w:rsidRPr="00527E09">
        <w:rPr>
          <w:rFonts w:cstheme="minorHAnsi"/>
        </w:rPr>
        <w:t xml:space="preserve">education budget </w:t>
      </w:r>
      <w:r w:rsidR="00810A4C" w:rsidRPr="00527E09">
        <w:rPr>
          <w:rFonts w:cstheme="minorHAnsi"/>
        </w:rPr>
        <w:t>for 2021-22</w:t>
      </w:r>
      <w:r w:rsidR="003B4CC6" w:rsidRPr="00527E09">
        <w:rPr>
          <w:rFonts w:cstheme="minorHAnsi"/>
          <w:bCs/>
        </w:rPr>
        <w:t>,</w:t>
      </w:r>
      <w:r w:rsidR="00810A4C" w:rsidRPr="00527E09">
        <w:rPr>
          <w:rFonts w:cstheme="minorHAnsi"/>
          <w:b/>
        </w:rPr>
        <w:t xml:space="preserve"> </w:t>
      </w:r>
      <w:r w:rsidRPr="00527E09">
        <w:rPr>
          <w:rFonts w:cstheme="minorHAnsi"/>
        </w:rPr>
        <w:t xml:space="preserve">and </w:t>
      </w:r>
      <w:r w:rsidR="003F676E" w:rsidRPr="00527E09">
        <w:rPr>
          <w:rFonts w:cstheme="minorHAnsi"/>
        </w:rPr>
        <w:t xml:space="preserve">projected </w:t>
      </w:r>
      <w:r w:rsidRPr="00527E09">
        <w:rPr>
          <w:rFonts w:cstheme="minorHAnsi"/>
        </w:rPr>
        <w:t xml:space="preserve">future </w:t>
      </w:r>
      <w:r w:rsidR="002C7077" w:rsidRPr="00527E09">
        <w:rPr>
          <w:rFonts w:cstheme="minorHAnsi"/>
        </w:rPr>
        <w:t>funding allocations</w:t>
      </w:r>
      <w:r w:rsidRPr="00527E09">
        <w:rPr>
          <w:rFonts w:cstheme="minorHAnsi"/>
        </w:rPr>
        <w:t xml:space="preserve"> </w:t>
      </w:r>
      <w:r w:rsidR="002C7077" w:rsidRPr="00527E09">
        <w:rPr>
          <w:rFonts w:cstheme="minorHAnsi"/>
        </w:rPr>
        <w:t xml:space="preserve">for the sector </w:t>
      </w:r>
      <w:r w:rsidRPr="00527E09">
        <w:rPr>
          <w:rFonts w:cstheme="minorHAnsi"/>
        </w:rPr>
        <w:t>will grow by</w:t>
      </w:r>
      <w:r w:rsidR="003B4CC6" w:rsidRPr="00527E09">
        <w:rPr>
          <w:rFonts w:cstheme="minorHAnsi"/>
        </w:rPr>
        <w:t xml:space="preserve"> </w:t>
      </w:r>
      <w:r w:rsidR="003B4CC6" w:rsidRPr="00527E09">
        <w:rPr>
          <w:rFonts w:cstheme="minorHAnsi"/>
          <w:bCs/>
        </w:rPr>
        <w:t>only</w:t>
      </w:r>
      <w:r w:rsidRPr="00527E09">
        <w:rPr>
          <w:rFonts w:cstheme="minorHAnsi"/>
        </w:rPr>
        <w:t xml:space="preserve"> 1.2</w:t>
      </w:r>
      <w:r w:rsidR="006F6C48" w:rsidRPr="00527E09">
        <w:rPr>
          <w:rFonts w:cstheme="minorHAnsi"/>
        </w:rPr>
        <w:t xml:space="preserve"> per cent</w:t>
      </w:r>
      <w:r w:rsidR="00C81FB8" w:rsidRPr="00527E09">
        <w:rPr>
          <w:rFonts w:cstheme="minorHAnsi"/>
        </w:rPr>
        <w:t>.</w:t>
      </w:r>
      <w:r w:rsidRPr="00527E09">
        <w:rPr>
          <w:rFonts w:cstheme="minorHAnsi"/>
          <w:vertAlign w:val="superscript"/>
        </w:rPr>
        <w:footnoteReference w:id="4"/>
      </w:r>
      <w:r w:rsidR="003B4CC6" w:rsidRPr="00527E09">
        <w:rPr>
          <w:rFonts w:cstheme="minorHAnsi"/>
        </w:rPr>
        <w:t xml:space="preserve"> </w:t>
      </w:r>
      <w:r w:rsidRPr="00527E09">
        <w:rPr>
          <w:rFonts w:cstheme="minorHAnsi"/>
        </w:rPr>
        <w:t xml:space="preserve">According to the FAO’s review of </w:t>
      </w:r>
      <w:r w:rsidR="000419DC" w:rsidRPr="00527E09">
        <w:rPr>
          <w:rFonts w:cstheme="minorHAnsi"/>
        </w:rPr>
        <w:t xml:space="preserve">Ministry </w:t>
      </w:r>
      <w:r w:rsidRPr="00527E09">
        <w:rPr>
          <w:rFonts w:cstheme="minorHAnsi"/>
        </w:rPr>
        <w:t xml:space="preserve">programs and commitments, education spending </w:t>
      </w:r>
      <w:r w:rsidR="002C7077" w:rsidRPr="00527E09">
        <w:rPr>
          <w:rFonts w:cstheme="minorHAnsi"/>
        </w:rPr>
        <w:t>would need to</w:t>
      </w:r>
      <w:r w:rsidRPr="00527E09">
        <w:rPr>
          <w:rFonts w:cstheme="minorHAnsi"/>
        </w:rPr>
        <w:t xml:space="preserve"> grow by 2.0 per cent</w:t>
      </w:r>
      <w:r w:rsidR="002C7077" w:rsidRPr="00527E09">
        <w:rPr>
          <w:rFonts w:cstheme="minorHAnsi"/>
        </w:rPr>
        <w:t xml:space="preserve"> to maintain current levels of service</w:t>
      </w:r>
      <w:r w:rsidRPr="00527E09">
        <w:rPr>
          <w:rFonts w:cstheme="minorHAnsi"/>
        </w:rPr>
        <w:t>, which is almost double the government’s planned spending growth rate in education</w:t>
      </w:r>
      <w:r w:rsidR="004D4BC3" w:rsidRPr="00527E09">
        <w:rPr>
          <w:rFonts w:cstheme="minorHAnsi"/>
        </w:rPr>
        <w:t>.</w:t>
      </w:r>
      <w:r w:rsidRPr="00527E09">
        <w:rPr>
          <w:rFonts w:cstheme="minorHAnsi"/>
          <w:vertAlign w:val="superscript"/>
        </w:rPr>
        <w:footnoteReference w:id="5"/>
      </w:r>
      <w:r w:rsidR="009D3790" w:rsidRPr="00527E09">
        <w:rPr>
          <w:rFonts w:cstheme="minorHAnsi"/>
        </w:rPr>
        <w:t xml:space="preserve"> Prior to the fall economic statement, the FAO projected that the cumulative </w:t>
      </w:r>
      <w:r w:rsidR="00C81FB8" w:rsidRPr="00527E09">
        <w:rPr>
          <w:rFonts w:cstheme="minorHAnsi"/>
        </w:rPr>
        <w:t>funding</w:t>
      </w:r>
      <w:r w:rsidR="009D3790" w:rsidRPr="00527E09">
        <w:rPr>
          <w:rFonts w:cstheme="minorHAnsi"/>
        </w:rPr>
        <w:t xml:space="preserve"> gap from 2021-22 to 2029-30 based on the government data was $12.3 billion. </w:t>
      </w:r>
      <w:r w:rsidR="0001070A" w:rsidRPr="00527E09">
        <w:rPr>
          <w:rFonts w:cstheme="minorHAnsi"/>
        </w:rPr>
        <w:t>Once the additional funding cut of $467 million</w:t>
      </w:r>
      <w:r w:rsidR="003B4CC6" w:rsidRPr="00527E09">
        <w:rPr>
          <w:rFonts w:cstheme="minorHAnsi"/>
        </w:rPr>
        <w:t xml:space="preserve"> </w:t>
      </w:r>
      <w:r w:rsidR="003B4CC6" w:rsidRPr="00527E09">
        <w:rPr>
          <w:rFonts w:cstheme="minorHAnsi"/>
          <w:bCs/>
        </w:rPr>
        <w:t>is</w:t>
      </w:r>
      <w:r w:rsidR="0001070A" w:rsidRPr="00527E09">
        <w:rPr>
          <w:rFonts w:cstheme="minorHAnsi"/>
          <w:bCs/>
        </w:rPr>
        <w:t xml:space="preserve"> included</w:t>
      </w:r>
      <w:r w:rsidR="0001070A" w:rsidRPr="00527E09">
        <w:rPr>
          <w:rFonts w:cstheme="minorHAnsi"/>
        </w:rPr>
        <w:t xml:space="preserve"> in the fall economic spending, this funding gap grows to $15.8 billion</w:t>
      </w:r>
      <w:r w:rsidR="003A0E36" w:rsidRPr="00527E09">
        <w:rPr>
          <w:rFonts w:cstheme="minorHAnsi"/>
        </w:rPr>
        <w:t xml:space="preserve"> (See Chart 1).</w:t>
      </w:r>
      <w:r w:rsidR="00B02AA7" w:rsidRPr="00527E09">
        <w:rPr>
          <w:rFonts w:cstheme="minorHAnsi"/>
        </w:rPr>
        <w:t xml:space="preserve"> </w:t>
      </w:r>
    </w:p>
    <w:p w14:paraId="6D3487D1" w14:textId="77777777" w:rsidR="0090537F" w:rsidRPr="00527E09" w:rsidRDefault="0090537F" w:rsidP="003B4504">
      <w:pPr>
        <w:jc w:val="center"/>
        <w:rPr>
          <w:b/>
          <w:bCs/>
          <w:shd w:val="clear" w:color="auto" w:fill="FFFFFF"/>
        </w:rPr>
      </w:pPr>
      <w:r w:rsidRPr="00527E09">
        <w:rPr>
          <w:b/>
          <w:bCs/>
          <w:shd w:val="clear" w:color="auto" w:fill="FFFFFF"/>
        </w:rPr>
        <w:t>Chart 1: Ontario Education Spending Outlook</w:t>
      </w:r>
    </w:p>
    <w:p w14:paraId="134B5ABC" w14:textId="77777777" w:rsidR="0090537F" w:rsidRPr="00527E09" w:rsidRDefault="0090537F" w:rsidP="003B4504">
      <w:pPr>
        <w:jc w:val="center"/>
        <w:rPr>
          <w:shd w:val="clear" w:color="auto" w:fill="FFFFFF"/>
        </w:rPr>
      </w:pPr>
      <w:r w:rsidRPr="00527E09">
        <w:rPr>
          <w:noProof/>
          <w:lang w:eastAsia="en-CA"/>
        </w:rPr>
        <w:drawing>
          <wp:inline distT="0" distB="0" distL="0" distR="0" wp14:anchorId="5C952C6A" wp14:editId="4B2178C6">
            <wp:extent cx="5848350" cy="2457450"/>
            <wp:effectExtent l="0" t="0" r="0" b="0"/>
            <wp:docPr id="1" name="Chart 1" descr="Chart 1: Ontario Education Spending Outlook">
              <a:extLst xmlns:a="http://schemas.openxmlformats.org/drawingml/2006/main">
                <a:ext uri="{FF2B5EF4-FFF2-40B4-BE49-F238E27FC236}">
                  <a16:creationId xmlns:a16="http://schemas.microsoft.com/office/drawing/2014/main" id="{45288DB1-8107-4D4C-BA07-67B706705E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E490DF" w14:textId="77777777" w:rsidR="0090537F" w:rsidRPr="00527E09" w:rsidRDefault="0090537F" w:rsidP="008A5763">
      <w:pPr>
        <w:rPr>
          <w:sz w:val="18"/>
          <w:szCs w:val="18"/>
          <w:lang w:val="en-US"/>
        </w:rPr>
      </w:pPr>
      <w:r w:rsidRPr="00527E09">
        <w:rPr>
          <w:sz w:val="18"/>
          <w:szCs w:val="18"/>
          <w:lang w:val="en-US"/>
        </w:rPr>
        <w:t>Source: Authors Calculation based on the Ministry of Finance, Government of Ontario, Financial Accountability Office of Ontario</w:t>
      </w:r>
      <w:r w:rsidRPr="00527E09">
        <w:rPr>
          <w:rStyle w:val="FootnoteReference"/>
          <w:sz w:val="18"/>
          <w:szCs w:val="18"/>
          <w:lang w:val="en-US"/>
        </w:rPr>
        <w:footnoteReference w:id="6"/>
      </w:r>
      <w:r w:rsidRPr="00527E09">
        <w:rPr>
          <w:sz w:val="18"/>
          <w:szCs w:val="18"/>
          <w:lang w:val="en-US"/>
        </w:rPr>
        <w:br/>
        <w:t>p = Ontario Ministry of Finance planning projection based on external sources.</w:t>
      </w:r>
    </w:p>
    <w:p w14:paraId="20216442" w14:textId="4E638151" w:rsidR="003B0D12" w:rsidRPr="00527E09" w:rsidRDefault="003B0D12" w:rsidP="00956C1A">
      <w:pPr>
        <w:spacing w:line="480" w:lineRule="auto"/>
        <w:rPr>
          <w:rFonts w:cstheme="minorHAnsi"/>
        </w:rPr>
      </w:pPr>
      <w:r w:rsidRPr="00527E09">
        <w:rPr>
          <w:rFonts w:cstheme="minorHAnsi"/>
        </w:rPr>
        <w:lastRenderedPageBreak/>
        <w:t xml:space="preserve">The government must close this funding gap and provide a plan for future increases to funding for public education that not only meet the benchmark established by the FAO for maintaining </w:t>
      </w:r>
      <w:r w:rsidRPr="00527E09">
        <w:rPr>
          <w:rFonts w:cstheme="minorHAnsi"/>
          <w:i/>
          <w:iCs/>
        </w:rPr>
        <w:t>status quo</w:t>
      </w:r>
      <w:r w:rsidRPr="00527E09">
        <w:rPr>
          <w:rFonts w:cstheme="minorHAnsi"/>
        </w:rPr>
        <w:t xml:space="preserve"> service levels, but that</w:t>
      </w:r>
      <w:r w:rsidR="00944FEE" w:rsidRPr="00527E09">
        <w:rPr>
          <w:rFonts w:cstheme="minorHAnsi"/>
        </w:rPr>
        <w:t xml:space="preserve"> also</w:t>
      </w:r>
      <w:r w:rsidRPr="00527E09">
        <w:rPr>
          <w:rFonts w:cstheme="minorHAnsi"/>
        </w:rPr>
        <w:t xml:space="preserve"> provide a path for improvements to Ontario’s public education system.</w:t>
      </w:r>
    </w:p>
    <w:p w14:paraId="12EADE91" w14:textId="5A64D1F2" w:rsidR="0001038C" w:rsidRPr="00527E09" w:rsidRDefault="00787BDA" w:rsidP="00956C1A">
      <w:pPr>
        <w:spacing w:line="480" w:lineRule="auto"/>
        <w:rPr>
          <w:rFonts w:cstheme="minorHAnsi"/>
        </w:rPr>
      </w:pPr>
      <w:r w:rsidRPr="00527E09">
        <w:rPr>
          <w:rFonts w:cstheme="minorHAnsi"/>
        </w:rPr>
        <w:t>Ontario’s education funding formula needs to be fully reviewed and reformed. It is based on a model introduced two decades ago that was designed to reduce overall expenditure for public schools. The last comprehensive review of the Ontario education funding formula was by the Education Equality Task Force headed by Dr. Mordechai Rozanski in 2002.</w:t>
      </w:r>
      <w:r w:rsidR="0001038C" w:rsidRPr="00527E09">
        <w:rPr>
          <w:rFonts w:cstheme="minorHAnsi"/>
        </w:rPr>
        <w:t xml:space="preserve"> While previous governments increased education funding by introducing important initiatives such as primary class size caps and Full-Day Kindergarten, they failed to address some of the original cuts made by predecessor governments. </w:t>
      </w:r>
      <w:r w:rsidR="00F430BB" w:rsidRPr="00527E09">
        <w:rPr>
          <w:rFonts w:cstheme="minorHAnsi"/>
        </w:rPr>
        <w:t>An independent, external review of Ontario’s education funding formula is required to ensure that the education funding formula reflects the actual needs of students in 2022 and beyond.</w:t>
      </w:r>
    </w:p>
    <w:p w14:paraId="170501B7" w14:textId="66B2BF16" w:rsidR="00F430BB" w:rsidRPr="00527E09" w:rsidRDefault="009D7F48" w:rsidP="009D7F48">
      <w:pPr>
        <w:spacing w:line="480" w:lineRule="auto"/>
        <w:rPr>
          <w:rFonts w:cstheme="minorHAnsi"/>
        </w:rPr>
      </w:pPr>
      <w:r w:rsidRPr="00527E09">
        <w:rPr>
          <w:rFonts w:cstheme="minorHAnsi"/>
        </w:rPr>
        <w:t xml:space="preserve">Under the current government, public education funding has been reduced significantly. Education as a percentage of total government </w:t>
      </w:r>
      <w:r w:rsidR="00944FEE" w:rsidRPr="00527E09">
        <w:rPr>
          <w:rFonts w:cstheme="minorHAnsi"/>
        </w:rPr>
        <w:t>expenditures</w:t>
      </w:r>
      <w:r w:rsidRPr="00527E09">
        <w:rPr>
          <w:rFonts w:cstheme="minorHAnsi"/>
        </w:rPr>
        <w:t xml:space="preserve"> has fallen dramatically since the current government has taken office. Education funding</w:t>
      </w:r>
      <w:r w:rsidR="00944FEE" w:rsidRPr="00527E09">
        <w:rPr>
          <w:rFonts w:cstheme="minorHAnsi"/>
        </w:rPr>
        <w:t xml:space="preserve"> was</w:t>
      </w:r>
      <w:r w:rsidRPr="00527E09">
        <w:rPr>
          <w:rFonts w:cstheme="minorHAnsi"/>
        </w:rPr>
        <w:t xml:space="preserve"> 18.3</w:t>
      </w:r>
      <w:r w:rsidR="008A5763" w:rsidRPr="00527E09">
        <w:rPr>
          <w:rFonts w:cstheme="minorHAnsi"/>
        </w:rPr>
        <w:t xml:space="preserve"> per cent</w:t>
      </w:r>
      <w:r w:rsidRPr="00527E09">
        <w:rPr>
          <w:rFonts w:cstheme="minorHAnsi"/>
        </w:rPr>
        <w:t xml:space="preserve"> </w:t>
      </w:r>
      <w:r w:rsidR="00944FEE" w:rsidRPr="00527E09">
        <w:rPr>
          <w:rFonts w:cstheme="minorHAnsi"/>
        </w:rPr>
        <w:t xml:space="preserve">of total government expenditures </w:t>
      </w:r>
      <w:r w:rsidRPr="00527E09">
        <w:rPr>
          <w:rFonts w:cstheme="minorHAnsi"/>
        </w:rPr>
        <w:t>in 2019-20</w:t>
      </w:r>
      <w:r w:rsidR="00944FEE" w:rsidRPr="00527E09">
        <w:rPr>
          <w:rFonts w:cstheme="minorHAnsi"/>
        </w:rPr>
        <w:t>; it</w:t>
      </w:r>
      <w:r w:rsidRPr="00527E09">
        <w:rPr>
          <w:rFonts w:cstheme="minorHAnsi"/>
        </w:rPr>
        <w:t xml:space="preserve"> is projected to be 16.6</w:t>
      </w:r>
      <w:r w:rsidR="008A5763" w:rsidRPr="00527E09">
        <w:rPr>
          <w:rFonts w:cstheme="minorHAnsi"/>
        </w:rPr>
        <w:t xml:space="preserve"> per cent</w:t>
      </w:r>
      <w:r w:rsidRPr="00527E09">
        <w:rPr>
          <w:rFonts w:cstheme="minorHAnsi"/>
        </w:rPr>
        <w:t xml:space="preserve"> in 2023-24 (See Chart 2). </w:t>
      </w:r>
    </w:p>
    <w:p w14:paraId="5959F3D8" w14:textId="77777777" w:rsidR="00F70B83" w:rsidRPr="00527E09" w:rsidRDefault="00F70B83">
      <w:pPr>
        <w:rPr>
          <w:b/>
          <w:bCs/>
          <w:lang w:val="en-US"/>
        </w:rPr>
      </w:pPr>
      <w:r w:rsidRPr="00527E09">
        <w:rPr>
          <w:b/>
          <w:bCs/>
          <w:lang w:val="en-US"/>
        </w:rPr>
        <w:br w:type="page"/>
      </w:r>
    </w:p>
    <w:p w14:paraId="6B103CCD" w14:textId="532BFB71" w:rsidR="0090537F" w:rsidRPr="00527E09" w:rsidRDefault="0090537F" w:rsidP="003B4504">
      <w:pPr>
        <w:jc w:val="center"/>
        <w:rPr>
          <w:b/>
          <w:bCs/>
          <w:lang w:val="en-US"/>
        </w:rPr>
      </w:pPr>
      <w:r w:rsidRPr="00527E09">
        <w:rPr>
          <w:b/>
          <w:bCs/>
          <w:lang w:val="en-US"/>
        </w:rPr>
        <w:lastRenderedPageBreak/>
        <w:t>Chart 2: Education Funding as a percentage of total government expenses</w:t>
      </w:r>
    </w:p>
    <w:p w14:paraId="68F987F8" w14:textId="77777777" w:rsidR="0090537F" w:rsidRPr="00527E09" w:rsidRDefault="0090537F" w:rsidP="003B4504">
      <w:pPr>
        <w:jc w:val="center"/>
        <w:rPr>
          <w:b/>
          <w:bCs/>
          <w:lang w:val="en-US"/>
        </w:rPr>
      </w:pPr>
      <w:r w:rsidRPr="00527E09">
        <w:rPr>
          <w:noProof/>
          <w:lang w:eastAsia="en-CA"/>
        </w:rPr>
        <w:drawing>
          <wp:inline distT="0" distB="0" distL="0" distR="0" wp14:anchorId="639FEB5E" wp14:editId="26133987">
            <wp:extent cx="5762625" cy="2466975"/>
            <wp:effectExtent l="0" t="0" r="9525" b="9525"/>
            <wp:docPr id="3" name="Chart 3" descr="Chart 2: Education Funding as a percentage of total government expenses">
              <a:extLst xmlns:a="http://schemas.openxmlformats.org/drawingml/2006/main">
                <a:ext uri="{FF2B5EF4-FFF2-40B4-BE49-F238E27FC236}">
                  <a16:creationId xmlns:a16="http://schemas.microsoft.com/office/drawing/2014/main" id="{3401BADC-9089-45B2-AFBF-D1BD627FFF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E22CE7" w14:textId="77777777" w:rsidR="0090537F" w:rsidRPr="00527E09" w:rsidRDefault="0090537F" w:rsidP="008A5763">
      <w:pPr>
        <w:rPr>
          <w:sz w:val="18"/>
          <w:szCs w:val="18"/>
          <w:lang w:val="en-US"/>
        </w:rPr>
      </w:pPr>
      <w:r w:rsidRPr="00527E09">
        <w:rPr>
          <w:sz w:val="18"/>
          <w:szCs w:val="18"/>
          <w:lang w:val="en-US"/>
        </w:rPr>
        <w:t>Source: Authors Calculation based on the Ministry of Finance, Government of Ontario</w:t>
      </w:r>
      <w:r w:rsidRPr="00527E09">
        <w:rPr>
          <w:sz w:val="18"/>
          <w:szCs w:val="18"/>
          <w:lang w:val="en-US"/>
        </w:rPr>
        <w:br/>
        <w:t>p = Ontario Ministry of Finance planning projection based on external sources.</w:t>
      </w:r>
    </w:p>
    <w:p w14:paraId="48AF2DCB" w14:textId="72054C7A" w:rsidR="0090537F" w:rsidRPr="00527E09" w:rsidRDefault="0091688A" w:rsidP="00956C1A">
      <w:pPr>
        <w:spacing w:line="480" w:lineRule="auto"/>
        <w:rPr>
          <w:rFonts w:cstheme="minorHAnsi"/>
        </w:rPr>
      </w:pPr>
      <w:r w:rsidRPr="00527E09">
        <w:rPr>
          <w:rFonts w:cstheme="minorHAnsi"/>
        </w:rPr>
        <w:t>Budget 2022 and the upcoming release of the Grants for Student Needs (GSN) provide an opportunity for the government to change course and properly address critical and urgent needs in public education</w:t>
      </w:r>
      <w:r w:rsidR="0090537F" w:rsidRPr="00527E09">
        <w:rPr>
          <w:rFonts w:cstheme="minorHAnsi"/>
        </w:rPr>
        <w:t>. Educators, parents, students, and the public at large will be paying close attention to the upcoming release of education funding parameters</w:t>
      </w:r>
      <w:r w:rsidR="00944FEE" w:rsidRPr="00527E09">
        <w:rPr>
          <w:rFonts w:cstheme="minorHAnsi"/>
        </w:rPr>
        <w:t>.</w:t>
      </w:r>
      <w:r w:rsidR="0090537F" w:rsidRPr="00527E09">
        <w:rPr>
          <w:rFonts w:cstheme="minorHAnsi"/>
        </w:rPr>
        <w:t xml:space="preserve"> </w:t>
      </w:r>
      <w:r w:rsidR="00944FEE" w:rsidRPr="00527E09">
        <w:rPr>
          <w:rFonts w:cstheme="minorHAnsi"/>
        </w:rPr>
        <w:t xml:space="preserve">They </w:t>
      </w:r>
      <w:r w:rsidR="0090537F" w:rsidRPr="00527E09">
        <w:rPr>
          <w:rFonts w:cstheme="minorHAnsi"/>
        </w:rPr>
        <w:t>will be lo</w:t>
      </w:r>
      <w:r w:rsidR="00944FEE" w:rsidRPr="00527E09">
        <w:rPr>
          <w:rFonts w:cstheme="minorHAnsi"/>
        </w:rPr>
        <w:t>oking for a change in direction</w:t>
      </w:r>
      <w:r w:rsidR="0090537F" w:rsidRPr="00527E09">
        <w:rPr>
          <w:rFonts w:cstheme="minorHAnsi"/>
        </w:rPr>
        <w:t xml:space="preserve"> away from damaging cuts and towards investment in our public education system and the public services Ontario families rely on.</w:t>
      </w:r>
      <w:r w:rsidR="00863DF1" w:rsidRPr="00527E09">
        <w:rPr>
          <w:rFonts w:cstheme="minorHAnsi"/>
        </w:rPr>
        <w:t xml:space="preserve"> </w:t>
      </w:r>
    </w:p>
    <w:p w14:paraId="7CDDC170" w14:textId="1387C4D1" w:rsidR="00413C51" w:rsidRPr="00527E09" w:rsidRDefault="008E0C42" w:rsidP="00DA4FCC">
      <w:pPr>
        <w:pStyle w:val="Heading2"/>
      </w:pPr>
      <w:r w:rsidRPr="00527E09">
        <w:t>Recommendations:</w:t>
      </w:r>
    </w:p>
    <w:p w14:paraId="6095372B" w14:textId="697BE7C1" w:rsidR="00F341C2" w:rsidRPr="00527E09" w:rsidRDefault="00F341C2" w:rsidP="0018217B">
      <w:pPr>
        <w:pStyle w:val="Reccomendations"/>
      </w:pPr>
      <w:r w:rsidRPr="00527E09">
        <w:t>Reinstate the $467 million cut from core education funding in the fall economic update.</w:t>
      </w:r>
      <w:r w:rsidR="004032BC" w:rsidRPr="00527E09">
        <w:br/>
      </w:r>
    </w:p>
    <w:p w14:paraId="1501772C" w14:textId="20F9C809" w:rsidR="00F341C2" w:rsidRPr="00527E09" w:rsidRDefault="00F341C2" w:rsidP="0018217B">
      <w:pPr>
        <w:pStyle w:val="Reccomendations"/>
      </w:pPr>
      <w:r w:rsidRPr="00527E09">
        <w:t xml:space="preserve">Increase funding to public education to </w:t>
      </w:r>
      <w:r w:rsidR="0000707B" w:rsidRPr="00527E09">
        <w:t>close</w:t>
      </w:r>
      <w:r w:rsidRPr="00527E09">
        <w:t xml:space="preserve"> the funding gap identified by the </w:t>
      </w:r>
      <w:r w:rsidR="000419DC" w:rsidRPr="00527E09">
        <w:t>FAO</w:t>
      </w:r>
      <w:r w:rsidRPr="00527E09">
        <w:t>.</w:t>
      </w:r>
      <w:r w:rsidR="004032BC" w:rsidRPr="00527E09">
        <w:br/>
      </w:r>
    </w:p>
    <w:p w14:paraId="7CCCD075" w14:textId="22A635A3" w:rsidR="00385B4C" w:rsidRPr="00527E09" w:rsidRDefault="00B90860" w:rsidP="0018217B">
      <w:pPr>
        <w:pStyle w:val="Reccomendations"/>
      </w:pPr>
      <w:r w:rsidRPr="00527E09">
        <w:t>Establish an independent, external review of Ontario’s education funding formula to ensure it reflects actual student needs.</w:t>
      </w:r>
    </w:p>
    <w:p w14:paraId="637706A2" w14:textId="596F367A" w:rsidR="003B4504" w:rsidRPr="00527E09" w:rsidRDefault="003B4504" w:rsidP="003B4504">
      <w:pPr>
        <w:pStyle w:val="Reccomendations"/>
        <w:numPr>
          <w:ilvl w:val="0"/>
          <w:numId w:val="0"/>
        </w:numPr>
      </w:pPr>
    </w:p>
    <w:p w14:paraId="4606A0C9" w14:textId="775B6395" w:rsidR="009307A1" w:rsidRPr="00527E09" w:rsidRDefault="009307A1" w:rsidP="0036148F">
      <w:pPr>
        <w:pStyle w:val="Heading1"/>
      </w:pPr>
      <w:bookmarkStart w:id="18" w:name="_Toc89070402"/>
      <w:r w:rsidRPr="00527E09">
        <w:lastRenderedPageBreak/>
        <w:t>Mental Health Supports</w:t>
      </w:r>
      <w:bookmarkEnd w:id="18"/>
    </w:p>
    <w:p w14:paraId="3CCAC94F" w14:textId="23E975E2" w:rsidR="00CC6556" w:rsidRPr="00527E09" w:rsidRDefault="00736F57" w:rsidP="00736F57">
      <w:pPr>
        <w:spacing w:line="480" w:lineRule="auto"/>
        <w:rPr>
          <w:rFonts w:cstheme="minorHAnsi"/>
        </w:rPr>
      </w:pPr>
      <w:r w:rsidRPr="00527E09">
        <w:rPr>
          <w:rFonts w:cstheme="minorHAnsi"/>
        </w:rPr>
        <w:t>The Ministry of Education maintains that the mental health and well-being of students continues to be an important priority</w:t>
      </w:r>
      <w:r w:rsidR="00561A1A" w:rsidRPr="00527E09">
        <w:rPr>
          <w:rFonts w:cstheme="minorHAnsi"/>
        </w:rPr>
        <w:t xml:space="preserve">. </w:t>
      </w:r>
      <w:r w:rsidR="00423B05" w:rsidRPr="00527E09">
        <w:rPr>
          <w:rFonts w:cstheme="minorHAnsi"/>
        </w:rPr>
        <w:t xml:space="preserve">In its consultation document, the Ministry refers </w:t>
      </w:r>
      <w:r w:rsidR="00561A1A" w:rsidRPr="00527E09">
        <w:rPr>
          <w:rFonts w:cstheme="minorHAnsi"/>
        </w:rPr>
        <w:t xml:space="preserve">to the </w:t>
      </w:r>
      <w:r w:rsidR="00423B05" w:rsidRPr="00527E09">
        <w:rPr>
          <w:rFonts w:cstheme="minorHAnsi"/>
        </w:rPr>
        <w:t>allocation of</w:t>
      </w:r>
      <w:r w:rsidRPr="00527E09">
        <w:rPr>
          <w:rFonts w:cstheme="minorHAnsi"/>
        </w:rPr>
        <w:t xml:space="preserve"> $80M in student mental health funding to boards</w:t>
      </w:r>
      <w:r w:rsidR="008E4876" w:rsidRPr="00527E09">
        <w:rPr>
          <w:rFonts w:cstheme="minorHAnsi"/>
          <w:bCs/>
        </w:rPr>
        <w:t>,</w:t>
      </w:r>
      <w:r w:rsidRPr="00527E09">
        <w:rPr>
          <w:rFonts w:cstheme="minorHAnsi"/>
        </w:rPr>
        <w:t xml:space="preserve"> with $45M directed to student mental health in the Grants for Student Needs (GSN) for 2021-22.</w:t>
      </w:r>
      <w:r w:rsidR="002C1A59" w:rsidRPr="00527E09">
        <w:rPr>
          <w:rFonts w:cstheme="minorHAnsi"/>
        </w:rPr>
        <w:t xml:space="preserve"> H</w:t>
      </w:r>
      <w:r w:rsidRPr="00527E09">
        <w:rPr>
          <w:rFonts w:cstheme="minorHAnsi"/>
        </w:rPr>
        <w:t xml:space="preserve">owever, $25.4M of that $45M in funding from the GSN is </w:t>
      </w:r>
      <w:r w:rsidR="00423B05" w:rsidRPr="00527E09">
        <w:rPr>
          <w:rFonts w:cstheme="minorHAnsi"/>
        </w:rPr>
        <w:t xml:space="preserve">allocated to </w:t>
      </w:r>
      <w:r w:rsidRPr="00527E09">
        <w:rPr>
          <w:rFonts w:cstheme="minorHAnsi"/>
        </w:rPr>
        <w:t>the Mental Health Workers Allocation which excludes elementary schools</w:t>
      </w:r>
      <w:r w:rsidR="00CC6556" w:rsidRPr="00527E09">
        <w:rPr>
          <w:rFonts w:cstheme="minorHAnsi"/>
        </w:rPr>
        <w:t xml:space="preserve">, since </w:t>
      </w:r>
      <w:r w:rsidRPr="00527E09">
        <w:rPr>
          <w:rFonts w:cstheme="minorHAnsi"/>
        </w:rPr>
        <w:t xml:space="preserve">the Mental Health Workers Staffing Component is only for regulated mental health workers in secondary schools. The government has committed to a renewed focus on achievement, equity, mental health and well-being, and yet there are no equitable supports for student mental health and well-being in elementary schools. </w:t>
      </w:r>
    </w:p>
    <w:p w14:paraId="6DA4E39A" w14:textId="224A5D51" w:rsidR="00163609" w:rsidRPr="00527E09" w:rsidRDefault="00736F57" w:rsidP="00736F57">
      <w:pPr>
        <w:spacing w:line="480" w:lineRule="auto"/>
        <w:rPr>
          <w:rFonts w:cstheme="minorHAnsi"/>
        </w:rPr>
      </w:pPr>
      <w:r w:rsidRPr="00527E09">
        <w:rPr>
          <w:rFonts w:cstheme="minorHAnsi"/>
        </w:rPr>
        <w:t>A 2019 report from People for Education</w:t>
      </w:r>
      <w:r w:rsidR="00F756A6" w:rsidRPr="00527E09">
        <w:rPr>
          <w:rStyle w:val="FootnoteReference"/>
          <w:rFonts w:cstheme="minorHAnsi"/>
        </w:rPr>
        <w:footnoteReference w:id="7"/>
      </w:r>
      <w:r w:rsidRPr="00527E09">
        <w:rPr>
          <w:rFonts w:cstheme="minorHAnsi"/>
        </w:rPr>
        <w:t xml:space="preserve"> on supporting students’ mental health </w:t>
      </w:r>
      <w:r w:rsidR="0000707B" w:rsidRPr="00527E09">
        <w:rPr>
          <w:rFonts w:cstheme="minorHAnsi"/>
        </w:rPr>
        <w:t>found</w:t>
      </w:r>
      <w:r w:rsidRPr="00527E09">
        <w:rPr>
          <w:rFonts w:cstheme="minorHAnsi"/>
        </w:rPr>
        <w:t xml:space="preserve"> that</w:t>
      </w:r>
      <w:r w:rsidR="00163609" w:rsidRPr="00527E09">
        <w:rPr>
          <w:rFonts w:cstheme="minorHAnsi"/>
        </w:rPr>
        <w:t>:</w:t>
      </w:r>
    </w:p>
    <w:p w14:paraId="6236C660" w14:textId="77777777" w:rsidR="00163609" w:rsidRPr="00527E09" w:rsidRDefault="00736F57" w:rsidP="00163609">
      <w:pPr>
        <w:pStyle w:val="ListParagraph"/>
        <w:numPr>
          <w:ilvl w:val="0"/>
          <w:numId w:val="14"/>
        </w:numPr>
        <w:spacing w:line="480" w:lineRule="auto"/>
        <w:rPr>
          <w:rFonts w:cstheme="minorHAnsi"/>
        </w:rPr>
      </w:pPr>
      <w:r w:rsidRPr="00527E09">
        <w:rPr>
          <w:rFonts w:cstheme="minorHAnsi"/>
        </w:rPr>
        <w:t>only 23 per cent of elementary schools have guidance counsellors</w:t>
      </w:r>
      <w:r w:rsidR="00163609" w:rsidRPr="00527E09">
        <w:rPr>
          <w:rFonts w:cstheme="minorHAnsi"/>
        </w:rPr>
        <w:t>,</w:t>
      </w:r>
      <w:r w:rsidRPr="00527E09">
        <w:rPr>
          <w:rFonts w:cstheme="minorHAnsi"/>
        </w:rPr>
        <w:t xml:space="preserve"> and the maj</w:t>
      </w:r>
      <w:r w:rsidR="00163609" w:rsidRPr="00527E09">
        <w:rPr>
          <w:rFonts w:cstheme="minorHAnsi"/>
        </w:rPr>
        <w:t xml:space="preserve">ority work less than half time; </w:t>
      </w:r>
    </w:p>
    <w:p w14:paraId="5AD6B532" w14:textId="3B05D65D" w:rsidR="00163609" w:rsidRPr="00527E09" w:rsidRDefault="00736F57" w:rsidP="00163609">
      <w:pPr>
        <w:pStyle w:val="ListParagraph"/>
        <w:numPr>
          <w:ilvl w:val="0"/>
          <w:numId w:val="14"/>
        </w:numPr>
        <w:spacing w:line="480" w:lineRule="auto"/>
        <w:rPr>
          <w:rFonts w:cstheme="minorHAnsi"/>
        </w:rPr>
      </w:pPr>
      <w:r w:rsidRPr="00527E09">
        <w:rPr>
          <w:rFonts w:cstheme="minorHAnsi"/>
        </w:rPr>
        <w:t>only 30</w:t>
      </w:r>
      <w:r w:rsidR="0000707B" w:rsidRPr="00527E09">
        <w:rPr>
          <w:rFonts w:cstheme="minorHAnsi"/>
        </w:rPr>
        <w:t xml:space="preserve"> per cent</w:t>
      </w:r>
      <w:r w:rsidRPr="00527E09">
        <w:rPr>
          <w:rFonts w:cstheme="minorHAnsi"/>
        </w:rPr>
        <w:t xml:space="preserve"> of elementary schools have regular access to psychologist</w:t>
      </w:r>
      <w:r w:rsidR="00163609" w:rsidRPr="00527E09">
        <w:rPr>
          <w:rFonts w:cstheme="minorHAnsi"/>
        </w:rPr>
        <w:t>s</w:t>
      </w:r>
      <w:r w:rsidRPr="00527E09">
        <w:rPr>
          <w:rFonts w:cstheme="minorHAnsi"/>
        </w:rPr>
        <w:t xml:space="preserve"> who spend</w:t>
      </w:r>
      <w:r w:rsidR="00163609" w:rsidRPr="00527E09">
        <w:rPr>
          <w:rFonts w:cstheme="minorHAnsi"/>
        </w:rPr>
        <w:t>,</w:t>
      </w:r>
      <w:r w:rsidRPr="00527E09">
        <w:rPr>
          <w:rFonts w:cstheme="minorHAnsi"/>
        </w:rPr>
        <w:t xml:space="preserve"> on average</w:t>
      </w:r>
      <w:r w:rsidR="00163609" w:rsidRPr="00527E09">
        <w:rPr>
          <w:rFonts w:cstheme="minorHAnsi"/>
        </w:rPr>
        <w:t>,</w:t>
      </w:r>
      <w:r w:rsidRPr="00527E09">
        <w:rPr>
          <w:rFonts w:cstheme="minorHAnsi"/>
        </w:rPr>
        <w:t xml:space="preserve"> 4.2 hours </w:t>
      </w:r>
      <w:r w:rsidR="00163609" w:rsidRPr="00527E09">
        <w:rPr>
          <w:rFonts w:cstheme="minorHAnsi"/>
        </w:rPr>
        <w:t>per week in elementary schools;</w:t>
      </w:r>
    </w:p>
    <w:p w14:paraId="458A7BF8" w14:textId="3AAE2050" w:rsidR="00163609" w:rsidRPr="00527E09" w:rsidRDefault="00736F57" w:rsidP="00163609">
      <w:pPr>
        <w:pStyle w:val="ListParagraph"/>
        <w:numPr>
          <w:ilvl w:val="0"/>
          <w:numId w:val="14"/>
        </w:numPr>
        <w:spacing w:line="480" w:lineRule="auto"/>
        <w:rPr>
          <w:rFonts w:cstheme="minorHAnsi"/>
        </w:rPr>
      </w:pPr>
      <w:r w:rsidRPr="00527E09">
        <w:rPr>
          <w:rFonts w:cstheme="minorHAnsi"/>
        </w:rPr>
        <w:t>48</w:t>
      </w:r>
      <w:r w:rsidR="0000707B" w:rsidRPr="00527E09">
        <w:rPr>
          <w:rFonts w:cstheme="minorHAnsi"/>
        </w:rPr>
        <w:t xml:space="preserve"> per cent</w:t>
      </w:r>
      <w:r w:rsidRPr="00527E09">
        <w:rPr>
          <w:rFonts w:cstheme="minorHAnsi"/>
        </w:rPr>
        <w:t xml:space="preserve"> of elementary schools have regular access to social workers who spend</w:t>
      </w:r>
      <w:r w:rsidR="00163609" w:rsidRPr="00527E09">
        <w:rPr>
          <w:rFonts w:cstheme="minorHAnsi"/>
        </w:rPr>
        <w:t>, on average,</w:t>
      </w:r>
      <w:r w:rsidRPr="00527E09">
        <w:rPr>
          <w:rFonts w:cstheme="minorHAnsi"/>
        </w:rPr>
        <w:t xml:space="preserve"> 4.7 hours per week in elementary schools</w:t>
      </w:r>
      <w:r w:rsidR="00163609" w:rsidRPr="00527E09">
        <w:rPr>
          <w:rFonts w:cstheme="minorHAnsi"/>
        </w:rPr>
        <w:t>;</w:t>
      </w:r>
      <w:r w:rsidRPr="00527E09">
        <w:rPr>
          <w:rFonts w:cstheme="minorHAnsi"/>
        </w:rPr>
        <w:t xml:space="preserve"> and </w:t>
      </w:r>
    </w:p>
    <w:p w14:paraId="2B0F3D6F" w14:textId="5A62B264" w:rsidR="00163609" w:rsidRPr="00527E09" w:rsidRDefault="00736F57" w:rsidP="00163609">
      <w:pPr>
        <w:pStyle w:val="ListParagraph"/>
        <w:numPr>
          <w:ilvl w:val="0"/>
          <w:numId w:val="14"/>
        </w:numPr>
        <w:spacing w:line="480" w:lineRule="auto"/>
        <w:rPr>
          <w:rFonts w:cstheme="minorHAnsi"/>
        </w:rPr>
      </w:pPr>
      <w:r w:rsidRPr="00527E09">
        <w:rPr>
          <w:rFonts w:cstheme="minorHAnsi"/>
        </w:rPr>
        <w:t>38</w:t>
      </w:r>
      <w:r w:rsidR="0000707B" w:rsidRPr="00527E09">
        <w:rPr>
          <w:rFonts w:cstheme="minorHAnsi"/>
        </w:rPr>
        <w:t xml:space="preserve"> per cent</w:t>
      </w:r>
      <w:r w:rsidRPr="00527E09">
        <w:rPr>
          <w:rFonts w:cstheme="minorHAnsi"/>
        </w:rPr>
        <w:t xml:space="preserve"> of elementary school</w:t>
      </w:r>
      <w:r w:rsidR="00237182" w:rsidRPr="00527E09">
        <w:rPr>
          <w:rFonts w:cstheme="minorHAnsi"/>
        </w:rPr>
        <w:t>s</w:t>
      </w:r>
      <w:r w:rsidRPr="00527E09">
        <w:rPr>
          <w:rFonts w:cstheme="minorHAnsi"/>
        </w:rPr>
        <w:t xml:space="preserve"> </w:t>
      </w:r>
      <w:r w:rsidR="002F30AE" w:rsidRPr="00527E09">
        <w:rPr>
          <w:rFonts w:cstheme="minorHAnsi"/>
        </w:rPr>
        <w:t>have</w:t>
      </w:r>
      <w:r w:rsidRPr="00527E09">
        <w:rPr>
          <w:rFonts w:cstheme="minorHAnsi"/>
        </w:rPr>
        <w:t xml:space="preserve"> regular access to child and youth workers who spend</w:t>
      </w:r>
      <w:r w:rsidR="00237182" w:rsidRPr="00527E09">
        <w:rPr>
          <w:rFonts w:cstheme="minorHAnsi"/>
        </w:rPr>
        <w:t>,</w:t>
      </w:r>
      <w:r w:rsidRPr="00527E09">
        <w:rPr>
          <w:rFonts w:cstheme="minorHAnsi"/>
        </w:rPr>
        <w:t xml:space="preserve"> on average</w:t>
      </w:r>
      <w:r w:rsidR="00237182" w:rsidRPr="00527E09">
        <w:rPr>
          <w:rFonts w:cstheme="minorHAnsi"/>
        </w:rPr>
        <w:t>,</w:t>
      </w:r>
      <w:r w:rsidRPr="00527E09">
        <w:rPr>
          <w:rFonts w:cstheme="minorHAnsi"/>
        </w:rPr>
        <w:t xml:space="preserve"> 16.6 hours per week in elementary schools.</w:t>
      </w:r>
    </w:p>
    <w:p w14:paraId="4ACD5976" w14:textId="36105164" w:rsidR="00736F57" w:rsidRPr="00527E09" w:rsidRDefault="00736F57" w:rsidP="00163609">
      <w:pPr>
        <w:spacing w:line="480" w:lineRule="auto"/>
        <w:rPr>
          <w:rFonts w:cstheme="minorHAnsi"/>
        </w:rPr>
      </w:pPr>
      <w:r w:rsidRPr="00527E09">
        <w:rPr>
          <w:rFonts w:cstheme="minorHAnsi"/>
        </w:rPr>
        <w:lastRenderedPageBreak/>
        <w:t xml:space="preserve">Additional funding must be provided to improve access to in-school supports, including guidance counsellors, social workers, psychologists, and child and youth workers, especially in underserviced areas. </w:t>
      </w:r>
    </w:p>
    <w:p w14:paraId="42EDE041" w14:textId="7D5208EB" w:rsidR="00736F57" w:rsidRPr="00527E09" w:rsidRDefault="00736F57" w:rsidP="00736F57">
      <w:pPr>
        <w:spacing w:line="480" w:lineRule="auto"/>
        <w:rPr>
          <w:rFonts w:cstheme="minorHAnsi"/>
        </w:rPr>
      </w:pPr>
      <w:r w:rsidRPr="00527E09">
        <w:rPr>
          <w:rFonts w:cstheme="minorHAnsi"/>
        </w:rPr>
        <w:t xml:space="preserve">The mental health of </w:t>
      </w:r>
      <w:r w:rsidR="00163609" w:rsidRPr="00527E09">
        <w:rPr>
          <w:rFonts w:cstheme="minorHAnsi"/>
          <w:bCs/>
        </w:rPr>
        <w:t>teachers, education workers</w:t>
      </w:r>
      <w:r w:rsidR="006F7905" w:rsidRPr="00527E09">
        <w:rPr>
          <w:rFonts w:cstheme="minorHAnsi"/>
          <w:bCs/>
        </w:rPr>
        <w:t>,</w:t>
      </w:r>
      <w:r w:rsidR="00163609" w:rsidRPr="00527E09">
        <w:rPr>
          <w:rFonts w:cstheme="minorHAnsi"/>
          <w:bCs/>
        </w:rPr>
        <w:t xml:space="preserve"> </w:t>
      </w:r>
      <w:r w:rsidRPr="00527E09">
        <w:rPr>
          <w:rFonts w:cstheme="minorHAnsi"/>
        </w:rPr>
        <w:t xml:space="preserve">and students requires the provincial government’s urgent attention. In May 2021, ETFO shared research that showed many of its members experienced burnout and other negative mental health impacts linked to the </w:t>
      </w:r>
      <w:r w:rsidR="0000707B" w:rsidRPr="00527E09">
        <w:rPr>
          <w:rFonts w:cstheme="minorHAnsi"/>
        </w:rPr>
        <w:t xml:space="preserve">provincial </w:t>
      </w:r>
      <w:r w:rsidRPr="00527E09">
        <w:rPr>
          <w:rFonts w:cstheme="minorHAnsi"/>
        </w:rPr>
        <w:t xml:space="preserve">government’s failed response to COVID-19. The government’s </w:t>
      </w:r>
      <w:r w:rsidR="0000707B" w:rsidRPr="00527E09">
        <w:rPr>
          <w:rFonts w:cstheme="minorHAnsi"/>
        </w:rPr>
        <w:t>chronic</w:t>
      </w:r>
      <w:r w:rsidRPr="00527E09">
        <w:rPr>
          <w:rFonts w:cstheme="minorHAnsi"/>
        </w:rPr>
        <w:t xml:space="preserve"> underfunding of public education has led to unnecessary negative mental health impacts and outcomes for ETFO members and students. The government must fund the supports in schools and in the community that are necessary to ensure students’ developmental</w:t>
      </w:r>
      <w:r w:rsidR="006F4D80" w:rsidRPr="00527E09">
        <w:rPr>
          <w:rFonts w:cstheme="minorHAnsi"/>
        </w:rPr>
        <w:t>,</w:t>
      </w:r>
      <w:r w:rsidRPr="00527E09">
        <w:rPr>
          <w:rFonts w:cstheme="minorHAnsi"/>
        </w:rPr>
        <w:t xml:space="preserve"> emotional</w:t>
      </w:r>
      <w:r w:rsidR="006F4D80" w:rsidRPr="00527E09">
        <w:rPr>
          <w:rFonts w:cstheme="minorHAnsi"/>
        </w:rPr>
        <w:t>,</w:t>
      </w:r>
      <w:r w:rsidRPr="00527E09">
        <w:rPr>
          <w:rFonts w:cstheme="minorHAnsi"/>
        </w:rPr>
        <w:t xml:space="preserve"> and behavioural needs are met so </w:t>
      </w:r>
      <w:r w:rsidR="00237182" w:rsidRPr="00527E09">
        <w:rPr>
          <w:rFonts w:cstheme="minorHAnsi"/>
        </w:rPr>
        <w:t xml:space="preserve">that </w:t>
      </w:r>
      <w:r w:rsidRPr="00527E09">
        <w:rPr>
          <w:rFonts w:cstheme="minorHAnsi"/>
        </w:rPr>
        <w:t xml:space="preserve">ETFO members can focus on </w:t>
      </w:r>
      <w:r w:rsidR="00FA6D5C" w:rsidRPr="00527E09">
        <w:rPr>
          <w:rFonts w:cstheme="minorHAnsi"/>
        </w:rPr>
        <w:t>supporting students’ learning</w:t>
      </w:r>
      <w:r w:rsidR="00163609" w:rsidRPr="00527E09">
        <w:rPr>
          <w:rFonts w:cstheme="minorHAnsi"/>
        </w:rPr>
        <w:t xml:space="preserve"> needs</w:t>
      </w:r>
      <w:r w:rsidR="00FA6D5C" w:rsidRPr="00527E09">
        <w:rPr>
          <w:rFonts w:cstheme="minorHAnsi"/>
        </w:rPr>
        <w:t>.</w:t>
      </w:r>
    </w:p>
    <w:p w14:paraId="3AC0F608" w14:textId="284FCD7D" w:rsidR="00736F57" w:rsidRPr="00527E09" w:rsidRDefault="00736F57" w:rsidP="00736F57">
      <w:pPr>
        <w:spacing w:line="480" w:lineRule="auto"/>
        <w:rPr>
          <w:rFonts w:cstheme="minorHAnsi"/>
        </w:rPr>
      </w:pPr>
      <w:r w:rsidRPr="00527E09">
        <w:rPr>
          <w:rFonts w:cstheme="minorHAnsi"/>
        </w:rPr>
        <w:t>Several surveys and research</w:t>
      </w:r>
      <w:r w:rsidR="00163609" w:rsidRPr="00527E09">
        <w:rPr>
          <w:rFonts w:cstheme="minorHAnsi"/>
        </w:rPr>
        <w:t xml:space="preserve"> </w:t>
      </w:r>
      <w:r w:rsidR="00163609" w:rsidRPr="00527E09">
        <w:rPr>
          <w:rFonts w:cstheme="minorHAnsi"/>
          <w:bCs/>
        </w:rPr>
        <w:t>studies</w:t>
      </w:r>
      <w:r w:rsidRPr="00527E09">
        <w:rPr>
          <w:rFonts w:cstheme="minorHAnsi"/>
        </w:rPr>
        <w:t xml:space="preserve"> suggest student well-being has been negatively impacted by the COVID-19 pandemic. Some students have been affected by the increased stress of the pandemic on their caregivers and loved ones, and others are still feeling the impact of the government’s failure to take necessary action to</w:t>
      </w:r>
      <w:r w:rsidR="00FA6D5C" w:rsidRPr="00527E09">
        <w:rPr>
          <w:rFonts w:cstheme="minorHAnsi"/>
        </w:rPr>
        <w:t xml:space="preserve"> ensure schools could remain safely open to in-person learning </w:t>
      </w:r>
      <w:r w:rsidRPr="00527E09">
        <w:rPr>
          <w:rFonts w:cstheme="minorHAnsi"/>
        </w:rPr>
        <w:t xml:space="preserve">during the 2020-21 school year. </w:t>
      </w:r>
    </w:p>
    <w:p w14:paraId="17AB5146" w14:textId="5AC135A8" w:rsidR="00736F57" w:rsidRPr="00527E09" w:rsidRDefault="00736F57" w:rsidP="00736F57">
      <w:pPr>
        <w:spacing w:line="480" w:lineRule="auto"/>
        <w:rPr>
          <w:rFonts w:cstheme="minorHAnsi"/>
        </w:rPr>
      </w:pPr>
      <w:r w:rsidRPr="00527E09">
        <w:rPr>
          <w:rFonts w:cstheme="minorHAnsi"/>
        </w:rPr>
        <w:t xml:space="preserve">The impact of the pandemic on learning, on the social-emotional wellness of </w:t>
      </w:r>
      <w:r w:rsidR="00163609" w:rsidRPr="00527E09">
        <w:rPr>
          <w:rFonts w:cstheme="minorHAnsi"/>
        </w:rPr>
        <w:t>elementary</w:t>
      </w:r>
      <w:r w:rsidR="00163609" w:rsidRPr="00527E09">
        <w:rPr>
          <w:rFonts w:cstheme="minorHAnsi"/>
          <w:b/>
        </w:rPr>
        <w:t xml:space="preserve"> </w:t>
      </w:r>
      <w:r w:rsidRPr="00527E09">
        <w:rPr>
          <w:rFonts w:cstheme="minorHAnsi"/>
        </w:rPr>
        <w:t>students, and on the physical safety of our school communities would have been much worse without the dedication shown by ETFO members</w:t>
      </w:r>
      <w:r w:rsidR="00163609" w:rsidRPr="00527E09">
        <w:rPr>
          <w:rFonts w:cstheme="minorHAnsi"/>
        </w:rPr>
        <w:t>. ETFO members</w:t>
      </w:r>
      <w:r w:rsidRPr="00527E09">
        <w:rPr>
          <w:rFonts w:cstheme="minorHAnsi"/>
        </w:rPr>
        <w:t xml:space="preserve"> taught themselves online learning platforms, connected with children and families however they could, followed challenging health and safety guidelines, and continued to be caring adults creating a safe space for their students. </w:t>
      </w:r>
    </w:p>
    <w:p w14:paraId="10CB53DE" w14:textId="77777777" w:rsidR="00F5497A" w:rsidRPr="00527E09" w:rsidRDefault="00F5497A" w:rsidP="00736F57">
      <w:pPr>
        <w:spacing w:line="480" w:lineRule="auto"/>
        <w:rPr>
          <w:rFonts w:cstheme="minorHAnsi"/>
        </w:rPr>
      </w:pPr>
    </w:p>
    <w:p w14:paraId="09657EEF" w14:textId="77777777" w:rsidR="00F5497A" w:rsidRPr="00527E09" w:rsidRDefault="00F5497A" w:rsidP="00736F57">
      <w:pPr>
        <w:spacing w:line="480" w:lineRule="auto"/>
        <w:rPr>
          <w:rFonts w:cstheme="minorHAnsi"/>
        </w:rPr>
      </w:pPr>
    </w:p>
    <w:p w14:paraId="488B3331" w14:textId="2AB29C05" w:rsidR="002115D1" w:rsidRPr="00527E09" w:rsidRDefault="00DC2271" w:rsidP="00DC2271">
      <w:pPr>
        <w:pStyle w:val="Heading3"/>
      </w:pPr>
      <w:r w:rsidRPr="00527E09">
        <w:lastRenderedPageBreak/>
        <w:t xml:space="preserve">Impact of </w:t>
      </w:r>
      <w:r w:rsidR="002115D1" w:rsidRPr="00527E09">
        <w:t xml:space="preserve">Online Learning </w:t>
      </w:r>
      <w:r w:rsidRPr="00527E09">
        <w:t>and Hybrid Learning</w:t>
      </w:r>
      <w:r w:rsidR="002115D1" w:rsidRPr="00527E09">
        <w:t xml:space="preserve"> on Mental Health</w:t>
      </w:r>
    </w:p>
    <w:p w14:paraId="22599F08" w14:textId="41344938" w:rsidR="00736F57" w:rsidRPr="00527E09" w:rsidRDefault="00736F57" w:rsidP="00736F57">
      <w:pPr>
        <w:spacing w:line="480" w:lineRule="auto"/>
        <w:rPr>
          <w:rFonts w:cstheme="minorHAnsi"/>
        </w:rPr>
      </w:pPr>
      <w:r w:rsidRPr="00527E09">
        <w:rPr>
          <w:rFonts w:cstheme="minorHAnsi"/>
        </w:rPr>
        <w:t>Despite the incredible support ETFO members have provided to students and their families, navigating uncertainty amidst a pandemic has exacerbated a</w:t>
      </w:r>
      <w:r w:rsidR="00037B16" w:rsidRPr="00527E09">
        <w:rPr>
          <w:rFonts w:cstheme="minorHAnsi"/>
        </w:rPr>
        <w:t xml:space="preserve"> pre-existing</w:t>
      </w:r>
      <w:r w:rsidRPr="00527E09">
        <w:rPr>
          <w:rFonts w:cstheme="minorHAnsi"/>
        </w:rPr>
        <w:t xml:space="preserve"> mental health crisis. The stress and pressures of school closures, hybrid learning, repeated disruption and shifts to remote learning, compounded by other factors that disproportionately affect the most marginalized communities, have resulted in an increased need for additional mental health support and resources in Ontario’s public schools. The government must </w:t>
      </w:r>
      <w:r w:rsidR="00335516" w:rsidRPr="00527E09">
        <w:rPr>
          <w:rFonts w:cstheme="minorHAnsi"/>
        </w:rPr>
        <w:t>develop and deliver</w:t>
      </w:r>
      <w:r w:rsidR="00237182" w:rsidRPr="00527E09">
        <w:rPr>
          <w:rFonts w:cstheme="minorHAnsi"/>
        </w:rPr>
        <w:t>—</w:t>
      </w:r>
      <w:r w:rsidR="00335516" w:rsidRPr="00527E09">
        <w:rPr>
          <w:rFonts w:cstheme="minorHAnsi"/>
        </w:rPr>
        <w:t>in consultation with mental health experts, teachers, education workers, unions and other education stakeholders</w:t>
      </w:r>
      <w:r w:rsidR="00237182" w:rsidRPr="00527E09">
        <w:rPr>
          <w:rFonts w:cstheme="minorHAnsi"/>
        </w:rPr>
        <w:t>—</w:t>
      </w:r>
      <w:r w:rsidR="00335516" w:rsidRPr="00527E09">
        <w:rPr>
          <w:rFonts w:cstheme="minorHAnsi"/>
        </w:rPr>
        <w:t>long-term, fully-fu</w:t>
      </w:r>
      <w:r w:rsidR="00037B16" w:rsidRPr="00527E09">
        <w:rPr>
          <w:rFonts w:cstheme="minorHAnsi"/>
        </w:rPr>
        <w:t>nded, comprehensive, culturally-</w:t>
      </w:r>
      <w:r w:rsidR="00335516" w:rsidRPr="00527E09">
        <w:rPr>
          <w:rFonts w:cstheme="minorHAnsi"/>
        </w:rPr>
        <w:t>responsive mental health supports for students.</w:t>
      </w:r>
      <w:r w:rsidRPr="00527E09">
        <w:rPr>
          <w:rFonts w:cstheme="minorHAnsi"/>
        </w:rPr>
        <w:t xml:space="preserve"> </w:t>
      </w:r>
    </w:p>
    <w:p w14:paraId="38F7690C" w14:textId="0DE9C55C" w:rsidR="00C502A3" w:rsidRPr="00527E09" w:rsidRDefault="00736F57" w:rsidP="00736F57">
      <w:pPr>
        <w:spacing w:line="480" w:lineRule="auto"/>
        <w:rPr>
          <w:rFonts w:cstheme="minorHAnsi"/>
        </w:rPr>
      </w:pPr>
      <w:r w:rsidRPr="00527E09">
        <w:rPr>
          <w:rFonts w:cstheme="minorHAnsi"/>
        </w:rPr>
        <w:t xml:space="preserve">The Ministry of Education has revealed that it has been working on a plan to fundamentally change our public education system </w:t>
      </w:r>
      <w:r w:rsidR="00FA6D5C" w:rsidRPr="00527E09">
        <w:rPr>
          <w:rFonts w:cstheme="minorHAnsi"/>
        </w:rPr>
        <w:t>by</w:t>
      </w:r>
      <w:r w:rsidRPr="00527E09">
        <w:rPr>
          <w:rFonts w:cstheme="minorHAnsi"/>
        </w:rPr>
        <w:t xml:space="preserve"> outsourc</w:t>
      </w:r>
      <w:r w:rsidR="00FA6D5C" w:rsidRPr="00527E09">
        <w:rPr>
          <w:rFonts w:cstheme="minorHAnsi"/>
        </w:rPr>
        <w:t>ing</w:t>
      </w:r>
      <w:r w:rsidR="00956CF5" w:rsidRPr="00527E09">
        <w:rPr>
          <w:rFonts w:cstheme="minorHAnsi"/>
        </w:rPr>
        <w:t xml:space="preserve"> and potentially privatizing</w:t>
      </w:r>
      <w:r w:rsidRPr="00527E09">
        <w:rPr>
          <w:rFonts w:cstheme="minorHAnsi"/>
        </w:rPr>
        <w:t xml:space="preserve"> online learning. The government’s plan proposes an entirely new online education system that would function in parallel to the current public education system. This proposal will negatively impact </w:t>
      </w:r>
      <w:r w:rsidR="00037B16" w:rsidRPr="00527E09">
        <w:rPr>
          <w:rFonts w:cstheme="minorHAnsi"/>
        </w:rPr>
        <w:t xml:space="preserve">students’ </w:t>
      </w:r>
      <w:r w:rsidRPr="00527E09">
        <w:rPr>
          <w:rFonts w:cstheme="minorHAnsi"/>
        </w:rPr>
        <w:t xml:space="preserve">health, well-being and learning outcomes. </w:t>
      </w:r>
    </w:p>
    <w:p w14:paraId="16BC1AA5" w14:textId="4A71744F" w:rsidR="005A10E6" w:rsidRPr="00527E09" w:rsidRDefault="00736F57" w:rsidP="00736F57">
      <w:pPr>
        <w:spacing w:line="480" w:lineRule="auto"/>
        <w:rPr>
          <w:rFonts w:cstheme="minorHAnsi"/>
        </w:rPr>
      </w:pPr>
      <w:r w:rsidRPr="00527E09">
        <w:rPr>
          <w:rFonts w:cstheme="minorHAnsi"/>
        </w:rPr>
        <w:t>ETFO believes that the daily, in-person model of instruction and support best meets students’ educational, developmental, and social needs</w:t>
      </w:r>
      <w:r w:rsidR="00037B16" w:rsidRPr="00527E09">
        <w:rPr>
          <w:rFonts w:cstheme="minorHAnsi"/>
        </w:rPr>
        <w:t>. In-person learning</w:t>
      </w:r>
      <w:r w:rsidRPr="00527E09">
        <w:rPr>
          <w:rFonts w:cstheme="minorHAnsi"/>
        </w:rPr>
        <w:t xml:space="preserve"> provid</w:t>
      </w:r>
      <w:r w:rsidR="00037B16" w:rsidRPr="00527E09">
        <w:rPr>
          <w:rFonts w:cstheme="minorHAnsi"/>
        </w:rPr>
        <w:t>es the best learning experience</w:t>
      </w:r>
      <w:r w:rsidRPr="00527E09">
        <w:rPr>
          <w:rFonts w:cstheme="minorHAnsi"/>
        </w:rPr>
        <w:t xml:space="preserve"> and is </w:t>
      </w:r>
      <w:r w:rsidR="00237182" w:rsidRPr="00527E09">
        <w:rPr>
          <w:rFonts w:cstheme="minorHAnsi"/>
        </w:rPr>
        <w:t>t</w:t>
      </w:r>
      <w:r w:rsidRPr="00527E09">
        <w:rPr>
          <w:rFonts w:cstheme="minorHAnsi"/>
        </w:rPr>
        <w:t>he most equitable learning model for all students. Throughout the pandemic, we have seen that remote learning and the hybrid model of learning have detrimental impacts on student health and well-being. In-person learning is critical to the social and emotional health of students.</w:t>
      </w:r>
    </w:p>
    <w:p w14:paraId="7EC36753" w14:textId="5C450FFF" w:rsidR="00805684" w:rsidRPr="00527E09" w:rsidRDefault="00736F57" w:rsidP="00736F57">
      <w:pPr>
        <w:spacing w:line="480" w:lineRule="auto"/>
        <w:rPr>
          <w:rFonts w:cstheme="minorHAnsi"/>
        </w:rPr>
      </w:pPr>
      <w:r w:rsidRPr="00527E09">
        <w:rPr>
          <w:rFonts w:cstheme="minorHAnsi"/>
        </w:rPr>
        <w:t xml:space="preserve">The full-time synchronous remote learning option </w:t>
      </w:r>
      <w:r w:rsidR="00B45465" w:rsidRPr="00527E09">
        <w:rPr>
          <w:rFonts w:cstheme="minorHAnsi"/>
          <w:bCs/>
        </w:rPr>
        <w:t>that has been implemented by</w:t>
      </w:r>
      <w:r w:rsidR="00CE7F59" w:rsidRPr="00527E09">
        <w:rPr>
          <w:rFonts w:cstheme="minorHAnsi"/>
          <w:bCs/>
        </w:rPr>
        <w:t xml:space="preserve"> some </w:t>
      </w:r>
      <w:r w:rsidR="00B45465" w:rsidRPr="00527E09">
        <w:rPr>
          <w:rFonts w:cstheme="minorHAnsi"/>
          <w:bCs/>
        </w:rPr>
        <w:t>school boards</w:t>
      </w:r>
      <w:r w:rsidR="00B45465" w:rsidRPr="00527E09">
        <w:rPr>
          <w:rFonts w:cstheme="minorHAnsi"/>
        </w:rPr>
        <w:t xml:space="preserve"> </w:t>
      </w:r>
      <w:r w:rsidRPr="00527E09">
        <w:rPr>
          <w:rFonts w:cstheme="minorHAnsi"/>
        </w:rPr>
        <w:t>will contribute to greater isolation and mental health challenges for some students. ETFO’s position remains that brick-and-mortar schools are the best source of re-connection</w:t>
      </w:r>
      <w:r w:rsidR="00B45465" w:rsidRPr="00527E09">
        <w:rPr>
          <w:rFonts w:cstheme="minorHAnsi"/>
        </w:rPr>
        <w:t xml:space="preserve"> for all students</w:t>
      </w:r>
      <w:r w:rsidRPr="00527E09">
        <w:rPr>
          <w:rFonts w:cstheme="minorHAnsi"/>
        </w:rPr>
        <w:t xml:space="preserve"> and</w:t>
      </w:r>
      <w:r w:rsidR="00B45465" w:rsidRPr="00527E09">
        <w:rPr>
          <w:rFonts w:cstheme="minorHAnsi"/>
        </w:rPr>
        <w:t>, in particular,</w:t>
      </w:r>
      <w:r w:rsidRPr="00527E09">
        <w:rPr>
          <w:rFonts w:cstheme="minorHAnsi"/>
        </w:rPr>
        <w:t xml:space="preserve"> </w:t>
      </w:r>
      <w:r w:rsidRPr="00527E09">
        <w:rPr>
          <w:rFonts w:cstheme="minorHAnsi"/>
        </w:rPr>
        <w:lastRenderedPageBreak/>
        <w:t xml:space="preserve">provide our most vulnerable students with </w:t>
      </w:r>
      <w:r w:rsidR="00B45465" w:rsidRPr="00527E09">
        <w:rPr>
          <w:rFonts w:cstheme="minorHAnsi"/>
        </w:rPr>
        <w:t xml:space="preserve">face-to-face emotional support and </w:t>
      </w:r>
      <w:r w:rsidRPr="00527E09">
        <w:rPr>
          <w:rFonts w:cstheme="minorHAnsi"/>
        </w:rPr>
        <w:t>a sense of belonging</w:t>
      </w:r>
      <w:r w:rsidR="00CE7F59" w:rsidRPr="00527E09">
        <w:rPr>
          <w:rFonts w:cstheme="minorHAnsi"/>
        </w:rPr>
        <w:t xml:space="preserve"> that cannot be replicated in a virtual format</w:t>
      </w:r>
      <w:r w:rsidRPr="00527E09">
        <w:rPr>
          <w:rFonts w:cstheme="minorHAnsi"/>
        </w:rPr>
        <w:t>.</w:t>
      </w:r>
    </w:p>
    <w:p w14:paraId="6336BD03" w14:textId="2F9CD966" w:rsidR="00736F57" w:rsidRPr="00527E09" w:rsidRDefault="00C502A3" w:rsidP="00736F57">
      <w:pPr>
        <w:spacing w:line="480" w:lineRule="auto"/>
        <w:rPr>
          <w:rFonts w:cstheme="minorHAnsi"/>
        </w:rPr>
      </w:pPr>
      <w:r w:rsidRPr="00527E09">
        <w:rPr>
          <w:rFonts w:cstheme="minorHAnsi"/>
        </w:rPr>
        <w:t>The use of hybrid learning model</w:t>
      </w:r>
      <w:r w:rsidR="00CE7F59" w:rsidRPr="00527E09">
        <w:rPr>
          <w:rFonts w:cstheme="minorHAnsi"/>
        </w:rPr>
        <w:t>s</w:t>
      </w:r>
      <w:r w:rsidRPr="00527E09">
        <w:rPr>
          <w:rFonts w:cstheme="minorHAnsi"/>
        </w:rPr>
        <w:t xml:space="preserve"> </w:t>
      </w:r>
      <w:r w:rsidR="003E0469" w:rsidRPr="00527E09">
        <w:rPr>
          <w:rFonts w:cstheme="minorHAnsi"/>
        </w:rPr>
        <w:t xml:space="preserve">by school boards across the province has led to students and educators facing unprecedented challenges and pressures, further compounding the ongoing mental health crisis. </w:t>
      </w:r>
      <w:r w:rsidR="005A10E6" w:rsidRPr="00527E09">
        <w:rPr>
          <w:rFonts w:cstheme="minorHAnsi"/>
        </w:rPr>
        <w:t>The use of hybrid learning by school boards</w:t>
      </w:r>
      <w:r w:rsidR="00CE7F59" w:rsidRPr="00527E09">
        <w:rPr>
          <w:rFonts w:cstheme="minorHAnsi"/>
        </w:rPr>
        <w:t xml:space="preserve"> in Ontario</w:t>
      </w:r>
      <w:r w:rsidR="005A10E6" w:rsidRPr="00527E09">
        <w:rPr>
          <w:rFonts w:cstheme="minorHAnsi"/>
        </w:rPr>
        <w:t xml:space="preserve"> must end</w:t>
      </w:r>
      <w:r w:rsidR="002629F4" w:rsidRPr="00527E09">
        <w:rPr>
          <w:rFonts w:cstheme="minorHAnsi"/>
        </w:rPr>
        <w:t>.</w:t>
      </w:r>
    </w:p>
    <w:p w14:paraId="68C664FB" w14:textId="194EE573" w:rsidR="00DC2271" w:rsidRPr="00527E09" w:rsidRDefault="00DC2271" w:rsidP="00DC2271">
      <w:pPr>
        <w:pStyle w:val="Heading3"/>
      </w:pPr>
      <w:r w:rsidRPr="00527E09">
        <w:t>Priorities and Partnerships Funding to Support Mental Health</w:t>
      </w:r>
    </w:p>
    <w:p w14:paraId="7DADD2B7" w14:textId="77777777" w:rsidR="00486F48" w:rsidRPr="00527E09" w:rsidRDefault="00736F57" w:rsidP="00736F57">
      <w:pPr>
        <w:spacing w:line="480" w:lineRule="auto"/>
        <w:rPr>
          <w:rFonts w:cstheme="minorHAnsi"/>
        </w:rPr>
      </w:pPr>
      <w:r w:rsidRPr="00527E09">
        <w:rPr>
          <w:rFonts w:cstheme="minorHAnsi"/>
        </w:rPr>
        <w:t xml:space="preserve">Additional funds were provided through the Priorities and Partnerships Funding (PPF) to support mental health and well-being in 2021-22. </w:t>
      </w:r>
    </w:p>
    <w:p w14:paraId="7293FB6A" w14:textId="1133D093" w:rsidR="00FA2138" w:rsidRPr="00527E09" w:rsidRDefault="00736F57" w:rsidP="00736F57">
      <w:pPr>
        <w:spacing w:line="480" w:lineRule="auto"/>
        <w:rPr>
          <w:rFonts w:cstheme="minorHAnsi"/>
        </w:rPr>
      </w:pPr>
      <w:r w:rsidRPr="00527E09">
        <w:rPr>
          <w:rFonts w:cstheme="minorHAnsi"/>
        </w:rPr>
        <w:t>The</w:t>
      </w:r>
      <w:r w:rsidR="00486F48" w:rsidRPr="00527E09">
        <w:rPr>
          <w:rFonts w:cstheme="minorHAnsi"/>
        </w:rPr>
        <w:t xml:space="preserve"> </w:t>
      </w:r>
      <w:r w:rsidRPr="00527E09">
        <w:rPr>
          <w:rFonts w:cstheme="minorHAnsi"/>
        </w:rPr>
        <w:t>Well-Being and Mental Health bundle</w:t>
      </w:r>
      <w:r w:rsidR="00486F48" w:rsidRPr="00527E09">
        <w:rPr>
          <w:rFonts w:cstheme="minorHAnsi"/>
        </w:rPr>
        <w:t xml:space="preserve"> </w:t>
      </w:r>
      <w:r w:rsidRPr="00527E09">
        <w:rPr>
          <w:rFonts w:cstheme="minorHAnsi"/>
        </w:rPr>
        <w:t xml:space="preserve">provided funding to school boards and </w:t>
      </w:r>
      <w:r w:rsidR="00486F48" w:rsidRPr="00527E09">
        <w:rPr>
          <w:rFonts w:cstheme="minorHAnsi"/>
          <w:bCs/>
        </w:rPr>
        <w:t>school</w:t>
      </w:r>
      <w:r w:rsidR="00486F48" w:rsidRPr="00527E09">
        <w:rPr>
          <w:rFonts w:cstheme="minorHAnsi"/>
          <w:b/>
        </w:rPr>
        <w:t xml:space="preserve"> </w:t>
      </w:r>
      <w:r w:rsidRPr="00527E09">
        <w:rPr>
          <w:rFonts w:cstheme="minorHAnsi"/>
        </w:rPr>
        <w:t>authorities to meet local needs and priorities that promot</w:t>
      </w:r>
      <w:r w:rsidR="00486F48" w:rsidRPr="00527E09">
        <w:rPr>
          <w:rFonts w:cstheme="minorHAnsi"/>
        </w:rPr>
        <w:t>e well-being and mental health (</w:t>
      </w:r>
      <w:r w:rsidRPr="00527E09">
        <w:rPr>
          <w:rFonts w:cstheme="minorHAnsi"/>
        </w:rPr>
        <w:t>including safe, healthy, inclusive and accepting learning environments</w:t>
      </w:r>
      <w:r w:rsidR="00486F48" w:rsidRPr="00527E09">
        <w:rPr>
          <w:rFonts w:cstheme="minorHAnsi"/>
        </w:rPr>
        <w:t>)</w:t>
      </w:r>
      <w:r w:rsidR="002655C7" w:rsidRPr="00527E09">
        <w:rPr>
          <w:rFonts w:cstheme="minorHAnsi"/>
        </w:rPr>
        <w:t xml:space="preserve">. </w:t>
      </w:r>
      <w:r w:rsidR="002655C7" w:rsidRPr="00527E09">
        <w:rPr>
          <w:rFonts w:cstheme="minorHAnsi"/>
          <w:bCs/>
        </w:rPr>
        <w:t>The total amount of Well-Being and Mental Health funding that is being distributed to 72 school boards is only $3</w:t>
      </w:r>
      <w:r w:rsidR="00785846" w:rsidRPr="00527E09">
        <w:rPr>
          <w:rFonts w:cstheme="minorHAnsi"/>
          <w:bCs/>
        </w:rPr>
        <w:t xml:space="preserve"> million</w:t>
      </w:r>
      <w:r w:rsidR="002655C7" w:rsidRPr="00527E09">
        <w:rPr>
          <w:rFonts w:cstheme="minorHAnsi"/>
          <w:bCs/>
        </w:rPr>
        <w:t>.</w:t>
      </w:r>
      <w:r w:rsidRPr="00527E09">
        <w:rPr>
          <w:rFonts w:cstheme="minorHAnsi"/>
        </w:rPr>
        <w:t xml:space="preserve"> </w:t>
      </w:r>
      <w:r w:rsidR="002655C7" w:rsidRPr="00527E09">
        <w:rPr>
          <w:rFonts w:cstheme="minorHAnsi"/>
        </w:rPr>
        <w:t>O</w:t>
      </w:r>
      <w:r w:rsidRPr="00527E09">
        <w:rPr>
          <w:rFonts w:cstheme="minorHAnsi"/>
        </w:rPr>
        <w:t xml:space="preserve">ne is left to question what can be done with that money. </w:t>
      </w:r>
      <w:r w:rsidR="002655C7" w:rsidRPr="00527E09">
        <w:rPr>
          <w:rFonts w:cstheme="minorHAnsi"/>
          <w:bCs/>
        </w:rPr>
        <w:t>For example, Algoma District School Board</w:t>
      </w:r>
      <w:r w:rsidR="00BD2563" w:rsidRPr="00527E09">
        <w:rPr>
          <w:rFonts w:cstheme="minorHAnsi"/>
          <w:bCs/>
        </w:rPr>
        <w:t xml:space="preserve"> (ADSB)</w:t>
      </w:r>
      <w:r w:rsidR="002655C7" w:rsidRPr="00527E09">
        <w:rPr>
          <w:rFonts w:cstheme="minorHAnsi"/>
          <w:bCs/>
        </w:rPr>
        <w:t xml:space="preserve"> has been </w:t>
      </w:r>
      <w:r w:rsidRPr="00527E09">
        <w:rPr>
          <w:rFonts w:cstheme="minorHAnsi"/>
          <w:bCs/>
        </w:rPr>
        <w:t>allocated $26,500</w:t>
      </w:r>
      <w:r w:rsidR="002655C7" w:rsidRPr="00527E09">
        <w:rPr>
          <w:rFonts w:cstheme="minorHAnsi"/>
          <w:bCs/>
        </w:rPr>
        <w:t xml:space="preserve"> from the Well-Being and Mental Health fund</w:t>
      </w:r>
      <w:r w:rsidRPr="00527E09">
        <w:rPr>
          <w:rFonts w:cstheme="minorHAnsi"/>
          <w:bCs/>
        </w:rPr>
        <w:t>.</w:t>
      </w:r>
      <w:r w:rsidRPr="00527E09">
        <w:rPr>
          <w:rFonts w:cstheme="minorHAnsi"/>
        </w:rPr>
        <w:t xml:space="preserve"> With 9</w:t>
      </w:r>
      <w:r w:rsidR="00FA2138" w:rsidRPr="00527E09">
        <w:rPr>
          <w:rFonts w:cstheme="minorHAnsi"/>
        </w:rPr>
        <w:t>,</w:t>
      </w:r>
      <w:r w:rsidRPr="00527E09">
        <w:rPr>
          <w:rFonts w:cstheme="minorHAnsi"/>
        </w:rPr>
        <w:t>341 students</w:t>
      </w:r>
      <w:r w:rsidR="00BD2563" w:rsidRPr="00527E09">
        <w:rPr>
          <w:rFonts w:cstheme="minorHAnsi"/>
        </w:rPr>
        <w:t xml:space="preserve"> </w:t>
      </w:r>
      <w:r w:rsidR="00BD2563" w:rsidRPr="00527E09">
        <w:rPr>
          <w:rFonts w:cstheme="minorHAnsi"/>
          <w:bCs/>
        </w:rPr>
        <w:t>enrolled in ADSB,</w:t>
      </w:r>
      <w:r w:rsidRPr="00527E09">
        <w:rPr>
          <w:rFonts w:cstheme="minorHAnsi"/>
          <w:bCs/>
        </w:rPr>
        <w:t xml:space="preserve"> that works out to</w:t>
      </w:r>
      <w:r w:rsidR="00BD2563" w:rsidRPr="00527E09">
        <w:rPr>
          <w:rFonts w:cstheme="minorHAnsi"/>
          <w:bCs/>
        </w:rPr>
        <w:t xml:space="preserve"> funding of only</w:t>
      </w:r>
      <w:r w:rsidRPr="00527E09">
        <w:rPr>
          <w:rFonts w:cstheme="minorHAnsi"/>
          <w:bCs/>
        </w:rPr>
        <w:t xml:space="preserve"> $2.83 per student. </w:t>
      </w:r>
      <w:r w:rsidR="00BD2563" w:rsidRPr="00527E09">
        <w:rPr>
          <w:rFonts w:cstheme="minorHAnsi"/>
          <w:bCs/>
        </w:rPr>
        <w:t>The Toronto District School Board’s 239,579 students will receive $312,800 from the fund - or $1.30 per TDSB student.</w:t>
      </w:r>
      <w:r w:rsidR="00BD2563" w:rsidRPr="00527E09">
        <w:rPr>
          <w:rFonts w:cstheme="minorHAnsi"/>
        </w:rPr>
        <w:t xml:space="preserve"> </w:t>
      </w:r>
      <w:r w:rsidR="00C57A42" w:rsidRPr="00527E09">
        <w:rPr>
          <w:rFonts w:cstheme="minorHAnsi"/>
        </w:rPr>
        <w:t>The</w:t>
      </w:r>
      <w:r w:rsidR="00BD2563" w:rsidRPr="00527E09">
        <w:rPr>
          <w:rFonts w:cstheme="minorHAnsi"/>
        </w:rPr>
        <w:t xml:space="preserve"> funding</w:t>
      </w:r>
      <w:r w:rsidR="00C57A42" w:rsidRPr="00527E09">
        <w:rPr>
          <w:rFonts w:cstheme="minorHAnsi"/>
        </w:rPr>
        <w:t xml:space="preserve"> allocation is simply not sufficient to </w:t>
      </w:r>
      <w:r w:rsidR="00BA3883" w:rsidRPr="00527E09">
        <w:rPr>
          <w:rFonts w:cstheme="minorHAnsi"/>
        </w:rPr>
        <w:t xml:space="preserve">provide significant support </w:t>
      </w:r>
      <w:r w:rsidR="00DF2632" w:rsidRPr="00527E09">
        <w:rPr>
          <w:rFonts w:cstheme="minorHAnsi"/>
        </w:rPr>
        <w:t>to</w:t>
      </w:r>
      <w:r w:rsidR="00BA3883" w:rsidRPr="00527E09">
        <w:rPr>
          <w:rFonts w:cstheme="minorHAnsi"/>
        </w:rPr>
        <w:t xml:space="preserve"> students </w:t>
      </w:r>
      <w:r w:rsidR="00F8623F" w:rsidRPr="00527E09">
        <w:rPr>
          <w:rFonts w:cstheme="minorHAnsi"/>
        </w:rPr>
        <w:t>at a time</w:t>
      </w:r>
      <w:r w:rsidR="00BD2563" w:rsidRPr="00527E09">
        <w:rPr>
          <w:rFonts w:cstheme="minorHAnsi"/>
        </w:rPr>
        <w:t xml:space="preserve"> when</w:t>
      </w:r>
      <w:r w:rsidR="00F8623F" w:rsidRPr="00527E09">
        <w:rPr>
          <w:rFonts w:cstheme="minorHAnsi"/>
        </w:rPr>
        <w:t xml:space="preserve"> the</w:t>
      </w:r>
      <w:r w:rsidR="00DF2632" w:rsidRPr="00527E09">
        <w:rPr>
          <w:rFonts w:cstheme="minorHAnsi"/>
        </w:rPr>
        <w:t xml:space="preserve"> need for support is at its highest.</w:t>
      </w:r>
    </w:p>
    <w:p w14:paraId="0E732FA4" w14:textId="602CB3D7" w:rsidR="00736F57" w:rsidRPr="00527E09" w:rsidRDefault="00785846" w:rsidP="00736F57">
      <w:pPr>
        <w:spacing w:line="480" w:lineRule="auto"/>
        <w:rPr>
          <w:rFonts w:cstheme="minorHAnsi"/>
        </w:rPr>
      </w:pPr>
      <w:r w:rsidRPr="00527E09">
        <w:rPr>
          <w:rFonts w:cstheme="minorHAnsi"/>
        </w:rPr>
        <w:t xml:space="preserve">In terms of professional development, the Ministry has allocated $6.5 million from the PPF to </w:t>
      </w:r>
      <w:r w:rsidR="00736F57" w:rsidRPr="00527E09">
        <w:rPr>
          <w:rFonts w:cstheme="minorHAnsi"/>
        </w:rPr>
        <w:t>School Mental Health Ontario to provide implementation support to 72 district school boards through clinical expertise, evidence-based resources/practical tools for educators, and the delivery of consistent professional learning to school</w:t>
      </w:r>
      <w:r w:rsidR="00DF2632" w:rsidRPr="00527E09">
        <w:rPr>
          <w:rFonts w:cstheme="minorHAnsi"/>
        </w:rPr>
        <w:t>-</w:t>
      </w:r>
      <w:r w:rsidR="00736F57" w:rsidRPr="00527E09">
        <w:rPr>
          <w:rFonts w:cstheme="minorHAnsi"/>
        </w:rPr>
        <w:t>based mental health clinics.</w:t>
      </w:r>
      <w:r w:rsidRPr="00527E09">
        <w:rPr>
          <w:rFonts w:cstheme="minorHAnsi"/>
        </w:rPr>
        <w:t xml:space="preserve"> M</w:t>
      </w:r>
      <w:r w:rsidR="00736F57" w:rsidRPr="00527E09">
        <w:rPr>
          <w:rFonts w:cstheme="minorHAnsi"/>
        </w:rPr>
        <w:t>ost</w:t>
      </w:r>
      <w:r w:rsidRPr="00527E09">
        <w:rPr>
          <w:rFonts w:cstheme="minorHAnsi"/>
        </w:rPr>
        <w:t xml:space="preserve"> of the</w:t>
      </w:r>
      <w:r w:rsidR="00736F57" w:rsidRPr="00527E09">
        <w:rPr>
          <w:rFonts w:cstheme="minorHAnsi"/>
        </w:rPr>
        <w:t xml:space="preserve"> new resources </w:t>
      </w:r>
      <w:r w:rsidRPr="00527E09">
        <w:rPr>
          <w:rFonts w:cstheme="minorHAnsi"/>
        </w:rPr>
        <w:t>created thus far direct</w:t>
      </w:r>
      <w:r w:rsidR="00736F57" w:rsidRPr="00527E09">
        <w:rPr>
          <w:rFonts w:cstheme="minorHAnsi"/>
        </w:rPr>
        <w:t xml:space="preserve"> members to visit</w:t>
      </w:r>
      <w:r w:rsidRPr="00527E09">
        <w:rPr>
          <w:rFonts w:cstheme="minorHAnsi"/>
        </w:rPr>
        <w:t xml:space="preserve"> </w:t>
      </w:r>
      <w:r w:rsidRPr="00527E09">
        <w:rPr>
          <w:rFonts w:cstheme="minorHAnsi"/>
        </w:rPr>
        <w:lastRenderedPageBreak/>
        <w:t>other web</w:t>
      </w:r>
      <w:r w:rsidR="00736F57" w:rsidRPr="00527E09">
        <w:rPr>
          <w:rFonts w:cstheme="minorHAnsi"/>
        </w:rPr>
        <w:t>sites, learn on their own time</w:t>
      </w:r>
      <w:r w:rsidRPr="00527E09">
        <w:rPr>
          <w:rFonts w:cstheme="minorHAnsi"/>
        </w:rPr>
        <w:t>—</w:t>
      </w:r>
      <w:r w:rsidR="00736F57" w:rsidRPr="00527E09">
        <w:rPr>
          <w:rFonts w:cstheme="minorHAnsi"/>
        </w:rPr>
        <w:t>outside of the instructional day</w:t>
      </w:r>
      <w:r w:rsidRPr="00527E09">
        <w:rPr>
          <w:rFonts w:cstheme="minorHAnsi"/>
        </w:rPr>
        <w:t>—</w:t>
      </w:r>
      <w:r w:rsidR="00736F57" w:rsidRPr="00527E09">
        <w:rPr>
          <w:rFonts w:cstheme="minorHAnsi"/>
        </w:rPr>
        <w:t xml:space="preserve">and </w:t>
      </w:r>
      <w:r w:rsidRPr="00527E09">
        <w:rPr>
          <w:rFonts w:cstheme="minorHAnsi"/>
        </w:rPr>
        <w:t>do not include</w:t>
      </w:r>
      <w:r w:rsidR="00736F57" w:rsidRPr="00527E09">
        <w:rPr>
          <w:rFonts w:cstheme="minorHAnsi"/>
        </w:rPr>
        <w:t xml:space="preserve"> collaboration with colleagues. This method of delivery for</w:t>
      </w:r>
      <w:r w:rsidRPr="00527E09">
        <w:rPr>
          <w:rFonts w:cstheme="minorHAnsi"/>
        </w:rPr>
        <w:t xml:space="preserve"> </w:t>
      </w:r>
      <w:r w:rsidR="00736F57" w:rsidRPr="00527E09">
        <w:rPr>
          <w:rFonts w:cstheme="minorHAnsi"/>
        </w:rPr>
        <w:t>professional development is not pedagogically sound. Funding needs to be provided for high-quality professional learning within the instructional day that is ongoing and sustainable.</w:t>
      </w:r>
    </w:p>
    <w:p w14:paraId="769F3637" w14:textId="62CE9BAA" w:rsidR="00736F57" w:rsidRPr="00527E09" w:rsidRDefault="00736F57" w:rsidP="00DA4FCC">
      <w:pPr>
        <w:pStyle w:val="Heading2"/>
      </w:pPr>
      <w:r w:rsidRPr="00527E09">
        <w:t xml:space="preserve">Recommendations: </w:t>
      </w:r>
    </w:p>
    <w:p w14:paraId="10BC4A60" w14:textId="342108D6" w:rsidR="00736F57" w:rsidRPr="00527E09" w:rsidRDefault="00736F57" w:rsidP="00160A5C">
      <w:pPr>
        <w:pStyle w:val="Reccomendations"/>
      </w:pPr>
      <w:r w:rsidRPr="00527E09">
        <w:t>That additional funding be provided to improve access to in-school supports, including guidance counsellors, social workers, psychologists, and child and youth workers, especially in underserviced areas.</w:t>
      </w:r>
      <w:r w:rsidR="00160A5C" w:rsidRPr="00527E09">
        <w:br/>
      </w:r>
    </w:p>
    <w:p w14:paraId="5850E7F9" w14:textId="725CBE73" w:rsidR="00736F57" w:rsidRPr="00527E09" w:rsidRDefault="00736F57" w:rsidP="00160A5C">
      <w:pPr>
        <w:pStyle w:val="Reccomendations"/>
      </w:pPr>
      <w:r w:rsidRPr="00527E09">
        <w:t xml:space="preserve">That </w:t>
      </w:r>
      <w:r w:rsidR="00DF2632" w:rsidRPr="00527E09">
        <w:t>funding be allocated for additional in-school and community</w:t>
      </w:r>
      <w:r w:rsidRPr="00527E09">
        <w:t xml:space="preserve"> supports necessary to ensure students’ developmental and behavioural needs are met</w:t>
      </w:r>
      <w:r w:rsidR="0053552E" w:rsidRPr="00527E09">
        <w:t>.</w:t>
      </w:r>
      <w:r w:rsidR="00160A5C" w:rsidRPr="00527E09">
        <w:br/>
      </w:r>
    </w:p>
    <w:p w14:paraId="32E031D8" w14:textId="3900AB40" w:rsidR="00736F57" w:rsidRPr="00527E09" w:rsidRDefault="00736F57" w:rsidP="00160A5C">
      <w:pPr>
        <w:pStyle w:val="Reccomendations"/>
      </w:pPr>
      <w:r w:rsidRPr="00527E09">
        <w:t xml:space="preserve">That the government </w:t>
      </w:r>
      <w:r w:rsidR="005A5CC4" w:rsidRPr="00527E09">
        <w:t xml:space="preserve">develop </w:t>
      </w:r>
      <w:r w:rsidR="00335516" w:rsidRPr="00527E09">
        <w:t>and deliver</w:t>
      </w:r>
      <w:r w:rsidR="00945756" w:rsidRPr="00527E09">
        <w:rPr>
          <w:rFonts w:cstheme="minorHAnsi"/>
        </w:rPr>
        <w:t>—</w:t>
      </w:r>
      <w:r w:rsidR="00335516" w:rsidRPr="00527E09">
        <w:t>in</w:t>
      </w:r>
      <w:r w:rsidR="005A5CC4" w:rsidRPr="00527E09">
        <w:t xml:space="preserve"> consultation</w:t>
      </w:r>
      <w:r w:rsidRPr="00527E09">
        <w:t xml:space="preserve"> with mental health experts, teachers, education workers, unions and other education </w:t>
      </w:r>
      <w:r w:rsidR="0053552E" w:rsidRPr="00527E09">
        <w:t>stakeholders</w:t>
      </w:r>
      <w:r w:rsidR="00945756" w:rsidRPr="00527E09">
        <w:rPr>
          <w:rFonts w:cstheme="minorHAnsi"/>
        </w:rPr>
        <w:t>—</w:t>
      </w:r>
      <w:r w:rsidRPr="00527E09">
        <w:t>long-term, fully</w:t>
      </w:r>
      <w:r w:rsidR="00335516" w:rsidRPr="00527E09">
        <w:t>-</w:t>
      </w:r>
      <w:r w:rsidRPr="00527E09">
        <w:t>fu</w:t>
      </w:r>
      <w:r w:rsidR="007A51FC" w:rsidRPr="00527E09">
        <w:t>nded, comprehensive, culturally-</w:t>
      </w:r>
      <w:r w:rsidRPr="00527E09">
        <w:t xml:space="preserve">responsive </w:t>
      </w:r>
      <w:r w:rsidR="005A5CC4" w:rsidRPr="00527E09">
        <w:t xml:space="preserve">mental health </w:t>
      </w:r>
      <w:r w:rsidRPr="00527E09">
        <w:t>supports for students.</w:t>
      </w:r>
      <w:r w:rsidR="00160A5C" w:rsidRPr="00527E09">
        <w:br/>
      </w:r>
    </w:p>
    <w:p w14:paraId="1A5C1773" w14:textId="748608B1" w:rsidR="00C12F0D" w:rsidRPr="00527E09" w:rsidRDefault="00C12F0D" w:rsidP="00160A5C">
      <w:pPr>
        <w:pStyle w:val="Reccomendations"/>
      </w:pPr>
      <w:r w:rsidRPr="00527E09">
        <w:t xml:space="preserve">That the government </w:t>
      </w:r>
      <w:r w:rsidR="00E2472A" w:rsidRPr="00527E09">
        <w:t>abandon</w:t>
      </w:r>
      <w:r w:rsidR="005C03A2" w:rsidRPr="00527E09">
        <w:t xml:space="preserve"> its plan to make virtual learning a permanent </w:t>
      </w:r>
      <w:r w:rsidR="00E2472A" w:rsidRPr="00527E09">
        <w:t>fixture of elementary instruction.</w:t>
      </w:r>
      <w:r w:rsidR="00160A5C" w:rsidRPr="00527E09">
        <w:br/>
      </w:r>
    </w:p>
    <w:p w14:paraId="643EE54E" w14:textId="55086C67" w:rsidR="00C12F0D" w:rsidRPr="00527E09" w:rsidRDefault="00736F57" w:rsidP="00160A5C">
      <w:pPr>
        <w:pStyle w:val="Reccomendations"/>
      </w:pPr>
      <w:r w:rsidRPr="00527E09">
        <w:t xml:space="preserve">That </w:t>
      </w:r>
      <w:r w:rsidR="00335516" w:rsidRPr="00527E09">
        <w:t>the government</w:t>
      </w:r>
      <w:r w:rsidR="00C12F0D" w:rsidRPr="00527E09">
        <w:t xml:space="preserve"> instruct school boards to immediately cease the use of hybrid learning as a method of instruction.</w:t>
      </w:r>
      <w:r w:rsidR="00160A5C" w:rsidRPr="00527E09">
        <w:br/>
      </w:r>
    </w:p>
    <w:p w14:paraId="4BA28A81" w14:textId="0D40A7B0" w:rsidR="00885F72" w:rsidRPr="00527E09" w:rsidRDefault="00736F57" w:rsidP="00160A5C">
      <w:pPr>
        <w:pStyle w:val="Reccomendations"/>
      </w:pPr>
      <w:r w:rsidRPr="00527E09">
        <w:t xml:space="preserve">That </w:t>
      </w:r>
      <w:r w:rsidR="007A51FC" w:rsidRPr="00527E09">
        <w:rPr>
          <w:bCs/>
        </w:rPr>
        <w:t>ongoing, sustainable</w:t>
      </w:r>
      <w:r w:rsidR="007A51FC" w:rsidRPr="00527E09">
        <w:t xml:space="preserve"> </w:t>
      </w:r>
      <w:r w:rsidRPr="00527E09">
        <w:t xml:space="preserve">funding be </w:t>
      </w:r>
      <w:r w:rsidR="001B7688" w:rsidRPr="00527E09">
        <w:t>allocated</w:t>
      </w:r>
      <w:r w:rsidRPr="00527E09">
        <w:t xml:space="preserve"> for high-quality professional </w:t>
      </w:r>
      <w:r w:rsidR="001B7688" w:rsidRPr="00527E09">
        <w:t>development for educators</w:t>
      </w:r>
      <w:r w:rsidRPr="00527E09">
        <w:t xml:space="preserve"> </w:t>
      </w:r>
      <w:r w:rsidR="001B7688" w:rsidRPr="00527E09">
        <w:t xml:space="preserve">in the area of </w:t>
      </w:r>
      <w:r w:rsidR="0022265F" w:rsidRPr="00527E09">
        <w:t xml:space="preserve">student </w:t>
      </w:r>
      <w:r w:rsidR="001B7688" w:rsidRPr="00527E09">
        <w:t>mental health</w:t>
      </w:r>
      <w:r w:rsidR="0022265F" w:rsidRPr="00527E09">
        <w:t>,</w:t>
      </w:r>
      <w:r w:rsidR="001B7688" w:rsidRPr="00527E09">
        <w:t xml:space="preserve"> </w:t>
      </w:r>
      <w:r w:rsidR="00A666D0" w:rsidRPr="00527E09">
        <w:t>occurring</w:t>
      </w:r>
      <w:r w:rsidR="00450E67" w:rsidRPr="00527E09">
        <w:t xml:space="preserve"> </w:t>
      </w:r>
      <w:r w:rsidRPr="00527E09">
        <w:t>within the instructional day</w:t>
      </w:r>
      <w:r w:rsidR="007A51FC" w:rsidRPr="00527E09">
        <w:t>.</w:t>
      </w:r>
      <w:r w:rsidRPr="00527E09">
        <w:t xml:space="preserve"> </w:t>
      </w:r>
    </w:p>
    <w:p w14:paraId="046DBA25" w14:textId="77777777" w:rsidR="00450E67" w:rsidRPr="00527E09" w:rsidRDefault="00450E67" w:rsidP="00450E67">
      <w:pPr>
        <w:pStyle w:val="Reccomendations"/>
        <w:numPr>
          <w:ilvl w:val="0"/>
          <w:numId w:val="0"/>
        </w:numPr>
      </w:pPr>
    </w:p>
    <w:p w14:paraId="3457308E" w14:textId="77777777" w:rsidR="004032BC" w:rsidRPr="00527E09" w:rsidRDefault="004032BC" w:rsidP="004032BC">
      <w:pPr>
        <w:pStyle w:val="Heading1"/>
      </w:pPr>
      <w:bookmarkStart w:id="19" w:name="_Toc89070403"/>
      <w:r w:rsidRPr="00527E09">
        <w:t>Learning Opportunities Grant</w:t>
      </w:r>
      <w:bookmarkEnd w:id="19"/>
    </w:p>
    <w:p w14:paraId="0FEE860A" w14:textId="69F96DD6" w:rsidR="004032BC" w:rsidRPr="00527E09" w:rsidRDefault="004032BC" w:rsidP="004032BC">
      <w:pPr>
        <w:spacing w:line="480" w:lineRule="auto"/>
        <w:rPr>
          <w:rFonts w:cstheme="minorHAnsi"/>
        </w:rPr>
      </w:pPr>
      <w:r w:rsidRPr="00527E09">
        <w:rPr>
          <w:rFonts w:cstheme="minorHAnsi"/>
        </w:rPr>
        <w:t xml:space="preserve">The Learning </w:t>
      </w:r>
      <w:r w:rsidR="00320AD5" w:rsidRPr="00527E09">
        <w:rPr>
          <w:rFonts w:cstheme="minorHAnsi"/>
        </w:rPr>
        <w:t>Opportunities</w:t>
      </w:r>
      <w:r w:rsidR="00BE76EA" w:rsidRPr="00527E09">
        <w:rPr>
          <w:rFonts w:cstheme="minorHAnsi"/>
        </w:rPr>
        <w:t xml:space="preserve"> </w:t>
      </w:r>
      <w:r w:rsidRPr="00527E09">
        <w:rPr>
          <w:rFonts w:cstheme="minorHAnsi"/>
        </w:rPr>
        <w:t>Grant (LOG) was included in the education funding formula in 1997. The objective of the LOG was to provide additional funding to school boards with higher proportions of students who were deemed to be ‘at-risk’ of academic failure. The aim of the additional funding was to support a variety of interventions that would provide those students with an equitable chance of success.</w:t>
      </w:r>
    </w:p>
    <w:p w14:paraId="4C98E7ED" w14:textId="75B4B043" w:rsidR="004032BC" w:rsidRPr="00527E09" w:rsidRDefault="004032BC" w:rsidP="004032BC">
      <w:pPr>
        <w:spacing w:line="480" w:lineRule="auto"/>
        <w:rPr>
          <w:rFonts w:cstheme="minorHAnsi"/>
        </w:rPr>
      </w:pPr>
      <w:r w:rsidRPr="00527E09">
        <w:rPr>
          <w:rFonts w:cstheme="minorHAnsi"/>
        </w:rPr>
        <w:t xml:space="preserve">From its inception, the LOG did not meet the recommendations made by the expert panel that was convened to advise the government on its implementation. This structural funding shortfall must be </w:t>
      </w:r>
      <w:r w:rsidRPr="00527E09">
        <w:rPr>
          <w:rFonts w:cstheme="minorHAnsi"/>
        </w:rPr>
        <w:lastRenderedPageBreak/>
        <w:t>addressed. ETFO recommends that a review of the LOG be part of an independent review of the funding formula</w:t>
      </w:r>
      <w:r w:rsidR="007A51FC" w:rsidRPr="00527E09">
        <w:rPr>
          <w:rFonts w:cstheme="minorHAnsi"/>
        </w:rPr>
        <w:t xml:space="preserve"> recommended</w:t>
      </w:r>
      <w:r w:rsidRPr="00527E09">
        <w:rPr>
          <w:rFonts w:cstheme="minorHAnsi"/>
        </w:rPr>
        <w:t xml:space="preserve"> earlier in this submission.</w:t>
      </w:r>
    </w:p>
    <w:p w14:paraId="21065514" w14:textId="2FDAE3FD" w:rsidR="004032BC" w:rsidRPr="00527E09" w:rsidRDefault="004032BC" w:rsidP="004032BC">
      <w:pPr>
        <w:spacing w:line="480" w:lineRule="auto"/>
        <w:rPr>
          <w:rFonts w:cstheme="minorHAnsi"/>
        </w:rPr>
      </w:pPr>
      <w:r w:rsidRPr="00527E09">
        <w:rPr>
          <w:rFonts w:cstheme="minorHAnsi"/>
        </w:rPr>
        <w:t>As stated in the Ministry’s consultation document, the largest portion of</w:t>
      </w:r>
      <w:r w:rsidR="00247008" w:rsidRPr="00527E09">
        <w:rPr>
          <w:rFonts w:cstheme="minorHAnsi"/>
        </w:rPr>
        <w:t xml:space="preserve"> LOG</w:t>
      </w:r>
      <w:r w:rsidRPr="00527E09">
        <w:rPr>
          <w:rFonts w:cstheme="minorHAnsi"/>
        </w:rPr>
        <w:t xml:space="preserve"> funding is allocated through the Demographic Allocation. This allocation is currently based on social and economic indicators derived from 2006 Statistics Canada’s census data. The Ministry has indicated that updating the census information, based on the 2021 census, for the 2022-23 school year and beyond</w:t>
      </w:r>
      <w:r w:rsidR="00320AD5" w:rsidRPr="00527E09">
        <w:rPr>
          <w:rFonts w:cstheme="minorHAnsi"/>
        </w:rPr>
        <w:t xml:space="preserve">, </w:t>
      </w:r>
      <w:r w:rsidRPr="00527E09">
        <w:rPr>
          <w:rFonts w:cstheme="minorHAnsi"/>
        </w:rPr>
        <w:t xml:space="preserve">would require a redistribution of funding between school boards. </w:t>
      </w:r>
    </w:p>
    <w:p w14:paraId="0AFA9BEA" w14:textId="7666425F" w:rsidR="004032BC" w:rsidRPr="00527E09" w:rsidRDefault="004032BC" w:rsidP="004032BC">
      <w:pPr>
        <w:spacing w:line="480" w:lineRule="auto"/>
        <w:rPr>
          <w:rFonts w:cstheme="minorHAnsi"/>
        </w:rPr>
      </w:pPr>
      <w:r w:rsidRPr="00527E09">
        <w:rPr>
          <w:rFonts w:cstheme="minorHAnsi"/>
        </w:rPr>
        <w:t xml:space="preserve">ETFO recommends that the Ministry provide education stakeholders </w:t>
      </w:r>
      <w:r w:rsidR="00A666D0" w:rsidRPr="00527E09">
        <w:rPr>
          <w:rFonts w:cstheme="minorHAnsi"/>
        </w:rPr>
        <w:t xml:space="preserve">with </w:t>
      </w:r>
      <w:r w:rsidRPr="00527E09">
        <w:rPr>
          <w:rFonts w:cstheme="minorHAnsi"/>
        </w:rPr>
        <w:t>a projection of the impact of integrating updated census data in the distribution of LOG funding. ETFO also recommends that the Ministry allocate additional transitional funding to support a phase-in period to ensure that school boards that would otherwise see a reduction in LOG funding through this re-distribution do not do so immediately. Finally, ETFO recommends that those school boards that stand to see their funding increase as a result of the redistribution of LOG funding, begin receiving this increase for the 2022-23 school year.</w:t>
      </w:r>
    </w:p>
    <w:p w14:paraId="4B3C0399" w14:textId="77777777" w:rsidR="004032BC" w:rsidRPr="00527E09" w:rsidRDefault="004032BC" w:rsidP="004032BC">
      <w:pPr>
        <w:pStyle w:val="Heading2"/>
      </w:pPr>
      <w:r w:rsidRPr="00527E09">
        <w:t xml:space="preserve">Recommendations: </w:t>
      </w:r>
    </w:p>
    <w:p w14:paraId="5862E922" w14:textId="1D81D6E2" w:rsidR="004032BC" w:rsidRPr="00527E09" w:rsidRDefault="004032BC" w:rsidP="004032BC">
      <w:pPr>
        <w:pStyle w:val="Reccomendations"/>
      </w:pPr>
      <w:r w:rsidRPr="00527E09">
        <w:t>That a review of the Learning Opportunities Grant</w:t>
      </w:r>
      <w:r w:rsidR="00247008" w:rsidRPr="00527E09">
        <w:t xml:space="preserve"> (LOG)</w:t>
      </w:r>
      <w:r w:rsidRPr="00527E09">
        <w:t xml:space="preserve"> be part of an independent review of the education funding formula.</w:t>
      </w:r>
      <w:r w:rsidRPr="00527E09">
        <w:br/>
      </w:r>
    </w:p>
    <w:p w14:paraId="6596B469" w14:textId="7A241BBA" w:rsidR="004032BC" w:rsidRPr="00527E09" w:rsidRDefault="004032BC" w:rsidP="004032BC">
      <w:pPr>
        <w:pStyle w:val="Reccomendations"/>
      </w:pPr>
      <w:r w:rsidRPr="00527E09">
        <w:t xml:space="preserve">That the Ministry of Education provide education stakeholders </w:t>
      </w:r>
      <w:r w:rsidR="00A666D0" w:rsidRPr="00527E09">
        <w:t xml:space="preserve">with </w:t>
      </w:r>
      <w:r w:rsidRPr="00527E09">
        <w:t>a projection of the impact of integrating updated 2021 census data in the distribution of LOG funding.</w:t>
      </w:r>
      <w:r w:rsidRPr="00527E09">
        <w:br/>
      </w:r>
    </w:p>
    <w:p w14:paraId="61941209" w14:textId="3F454ACC" w:rsidR="004032BC" w:rsidRPr="00527E09" w:rsidRDefault="004032BC" w:rsidP="004032BC">
      <w:pPr>
        <w:pStyle w:val="Reccomendations"/>
      </w:pPr>
      <w:r w:rsidRPr="00527E09">
        <w:t>That transitional funding be allocated to support a phase-in period to ensure school boards that would otherwise see a reduction in LOG funding because of redistribution</w:t>
      </w:r>
      <w:r w:rsidR="00450E67" w:rsidRPr="00527E09">
        <w:t>.</w:t>
      </w:r>
      <w:r w:rsidR="00450E67" w:rsidRPr="00527E09">
        <w:br/>
      </w:r>
    </w:p>
    <w:p w14:paraId="0884C0B5" w14:textId="6510DEA5" w:rsidR="004032BC" w:rsidRPr="00527E09" w:rsidRDefault="004032BC" w:rsidP="004032BC">
      <w:pPr>
        <w:pStyle w:val="Reccomendations"/>
      </w:pPr>
      <w:r w:rsidRPr="00527E09">
        <w:t xml:space="preserve">That school boards </w:t>
      </w:r>
      <w:r w:rsidR="00320AD5" w:rsidRPr="00527E09">
        <w:t xml:space="preserve">which </w:t>
      </w:r>
      <w:r w:rsidRPr="00527E09">
        <w:t>would see an increase of LOG funding because of the redistribution, begin receiving this funding increase in the 2022-23 school year</w:t>
      </w:r>
      <w:r w:rsidR="00805684" w:rsidRPr="00527E09">
        <w:t>.</w:t>
      </w:r>
    </w:p>
    <w:p w14:paraId="67E1A6A2" w14:textId="77777777" w:rsidR="004032BC" w:rsidRPr="00527E09" w:rsidRDefault="004032BC" w:rsidP="004032BC">
      <w:pPr>
        <w:rPr>
          <w:lang w:val="en-US"/>
        </w:rPr>
      </w:pPr>
    </w:p>
    <w:p w14:paraId="3DC45216" w14:textId="457A6DA0" w:rsidR="001F55F3" w:rsidRPr="00527E09" w:rsidRDefault="00160A5C" w:rsidP="001F55F3">
      <w:pPr>
        <w:pStyle w:val="Heading1"/>
      </w:pPr>
      <w:bookmarkStart w:id="20" w:name="_Toc89070404"/>
      <w:r w:rsidRPr="00527E09">
        <w:lastRenderedPageBreak/>
        <w:t>New Teacher Induction Program</w:t>
      </w:r>
      <w:bookmarkEnd w:id="20"/>
    </w:p>
    <w:p w14:paraId="07E3C613" w14:textId="7F01A909" w:rsidR="001F55F3" w:rsidRPr="00527E09" w:rsidRDefault="001F55F3" w:rsidP="001F55F3">
      <w:pPr>
        <w:spacing w:line="480" w:lineRule="auto"/>
        <w:rPr>
          <w:rFonts w:cstheme="minorHAnsi"/>
        </w:rPr>
      </w:pPr>
      <w:r w:rsidRPr="00527E09">
        <w:rPr>
          <w:rFonts w:cstheme="minorHAnsi"/>
        </w:rPr>
        <w:t xml:space="preserve">The New Teacher Induction Program (NTIP) was introduced in 2006 and was designed to support the growth and professional development of new teachers. It is the second step in a continuum of professional development for teachers to support effective teaching, learning, and assessment practices, building on and complementing the first step: pre-service education programs. </w:t>
      </w:r>
      <w:r w:rsidR="00247008" w:rsidRPr="00527E09">
        <w:rPr>
          <w:rFonts w:cstheme="minorHAnsi"/>
        </w:rPr>
        <w:t>NTIP</w:t>
      </w:r>
      <w:r w:rsidRPr="00527E09">
        <w:rPr>
          <w:rFonts w:cstheme="minorHAnsi"/>
        </w:rPr>
        <w:t xml:space="preserve"> provides another full year of professional support so that new teachers can develop the requisite skills and knowledge that will enable them to achieve success</w:t>
      </w:r>
      <w:r w:rsidR="00247008" w:rsidRPr="00527E09">
        <w:rPr>
          <w:rFonts w:cstheme="minorHAnsi"/>
        </w:rPr>
        <w:t>.</w:t>
      </w:r>
      <w:r w:rsidRPr="00527E09">
        <w:rPr>
          <w:rFonts w:cstheme="minorHAnsi"/>
        </w:rPr>
        <w:t xml:space="preserve"> By helping new teachers achieve their full potential, </w:t>
      </w:r>
      <w:r w:rsidR="00247008" w:rsidRPr="00527E09">
        <w:rPr>
          <w:rFonts w:cstheme="minorHAnsi"/>
          <w:bCs/>
        </w:rPr>
        <w:t xml:space="preserve">NTIP </w:t>
      </w:r>
      <w:r w:rsidRPr="00527E09">
        <w:rPr>
          <w:rFonts w:cstheme="minorHAnsi"/>
        </w:rPr>
        <w:t>supports Ontario’s vision of achieving high levels of student performance.</w:t>
      </w:r>
      <w:r w:rsidRPr="00527E09">
        <w:rPr>
          <w:rStyle w:val="FootnoteReference"/>
          <w:rFonts w:cstheme="minorHAnsi"/>
        </w:rPr>
        <w:footnoteReference w:id="8"/>
      </w:r>
    </w:p>
    <w:p w14:paraId="16FC30C3" w14:textId="77777777" w:rsidR="00247008" w:rsidRPr="00527E09" w:rsidRDefault="001F55F3" w:rsidP="001F55F3">
      <w:pPr>
        <w:spacing w:line="480" w:lineRule="auto"/>
        <w:rPr>
          <w:rFonts w:cstheme="minorHAnsi"/>
        </w:rPr>
      </w:pPr>
      <w:r w:rsidRPr="00527E09">
        <w:rPr>
          <w:rFonts w:cstheme="minorHAnsi"/>
        </w:rPr>
        <w:t xml:space="preserve">For the first three years of the program, NTIP was funded outside the Grants for Student Needs (GSN). Funding for NTIP was first introduced in the Grants for Student Needs (GSN) in 2008-09 and was projected to be $14.8 million. At that time, funding was provided as follows: </w:t>
      </w:r>
    </w:p>
    <w:p w14:paraId="4DDBCCE9" w14:textId="77777777" w:rsidR="00247008" w:rsidRPr="00527E09" w:rsidRDefault="001F55F3" w:rsidP="00247008">
      <w:pPr>
        <w:pStyle w:val="ListParagraph"/>
        <w:numPr>
          <w:ilvl w:val="0"/>
          <w:numId w:val="15"/>
        </w:numPr>
        <w:spacing w:line="480" w:lineRule="auto"/>
        <w:rPr>
          <w:rFonts w:cstheme="minorHAnsi"/>
        </w:rPr>
      </w:pPr>
      <w:r w:rsidRPr="00527E09">
        <w:rPr>
          <w:rFonts w:cstheme="minorHAnsi"/>
        </w:rPr>
        <w:t>NTIP Funding = $20,000 + ($2,000 x New Teachers) with the allocation based on a head count of new teachers that were hired between October 2007 and October 2008.</w:t>
      </w:r>
      <w:r w:rsidRPr="00527E09">
        <w:rPr>
          <w:rStyle w:val="FootnoteReference"/>
          <w:rFonts w:cstheme="minorHAnsi"/>
        </w:rPr>
        <w:footnoteReference w:id="9"/>
      </w:r>
      <w:r w:rsidRPr="00527E09">
        <w:rPr>
          <w:rFonts w:cstheme="minorHAnsi"/>
        </w:rPr>
        <w:t xml:space="preserve"> </w:t>
      </w:r>
    </w:p>
    <w:p w14:paraId="48327B47" w14:textId="5C7CB822" w:rsidR="001F55F3" w:rsidRPr="00527E09" w:rsidRDefault="001F55F3" w:rsidP="00247008">
      <w:pPr>
        <w:spacing w:line="480" w:lineRule="auto"/>
        <w:rPr>
          <w:rFonts w:cstheme="minorHAnsi"/>
        </w:rPr>
      </w:pPr>
      <w:r w:rsidRPr="00527E09">
        <w:rPr>
          <w:rFonts w:cstheme="minorHAnsi"/>
        </w:rPr>
        <w:t xml:space="preserve">The following year, the allocation for NTIP was projected to be $13.8 million and a new method of allocating funds was introduced. Boards would receive the lesser </w:t>
      </w:r>
      <w:r w:rsidR="006D6065" w:rsidRPr="00527E09">
        <w:rPr>
          <w:rFonts w:cstheme="minorHAnsi"/>
        </w:rPr>
        <w:t>of</w:t>
      </w:r>
      <w:r w:rsidRPr="00527E09">
        <w:rPr>
          <w:rFonts w:cstheme="minorHAnsi"/>
        </w:rPr>
        <w:t xml:space="preserve"> $50,000 per board plus $720 x </w:t>
      </w:r>
      <w:r w:rsidR="00247008" w:rsidRPr="00527E09">
        <w:rPr>
          <w:rFonts w:cstheme="minorHAnsi"/>
        </w:rPr>
        <w:t xml:space="preserve">the </w:t>
      </w:r>
      <w:r w:rsidRPr="00527E09">
        <w:rPr>
          <w:rFonts w:cstheme="minorHAnsi"/>
        </w:rPr>
        <w:t xml:space="preserve">number of teachers on Rows 0, 1, 2 of the board’s Teacher Qualifications and Experience Grid in 2008-09 or the board’s actual expenditure for NTIP in 2009-10. </w:t>
      </w:r>
      <w:r w:rsidRPr="00527E09">
        <w:rPr>
          <w:rStyle w:val="FootnoteReference"/>
          <w:rFonts w:cstheme="minorHAnsi"/>
        </w:rPr>
        <w:footnoteReference w:id="10"/>
      </w:r>
      <w:r w:rsidRPr="00527E09">
        <w:rPr>
          <w:rFonts w:cstheme="minorHAnsi"/>
        </w:rPr>
        <w:t xml:space="preserve"> Since 2010-11, the projected allocation for NTIP has remained </w:t>
      </w:r>
      <w:r w:rsidRPr="00527E09">
        <w:rPr>
          <w:rFonts w:cstheme="minorHAnsi"/>
        </w:rPr>
        <w:lastRenderedPageBreak/>
        <w:t>steady at $13.7 million while the benchmark amount per teacher fluctuated from a high of $1</w:t>
      </w:r>
      <w:r w:rsidR="00247008" w:rsidRPr="00527E09">
        <w:rPr>
          <w:rFonts w:cstheme="minorHAnsi"/>
        </w:rPr>
        <w:t>,</w:t>
      </w:r>
      <w:r w:rsidRPr="00527E09">
        <w:rPr>
          <w:rFonts w:cstheme="minorHAnsi"/>
        </w:rPr>
        <w:t xml:space="preserve">538.63 in 2016-17 to the low amount of only $730 per teacher in 2009-10. </w:t>
      </w:r>
    </w:p>
    <w:p w14:paraId="1AAC2D8D" w14:textId="77777777" w:rsidR="00450E67" w:rsidRPr="00527E09" w:rsidRDefault="001F55F3" w:rsidP="001F55F3">
      <w:pPr>
        <w:spacing w:line="480" w:lineRule="auto"/>
        <w:rPr>
          <w:rFonts w:cstheme="minorHAnsi"/>
        </w:rPr>
      </w:pPr>
      <w:r w:rsidRPr="00527E09">
        <w:rPr>
          <w:rFonts w:cstheme="minorHAnsi"/>
        </w:rPr>
        <w:t>As part of NTIP, boards are to use their funds to support first-year teachers, second-year teachers who need more than one year of support to gain proficiency in their role, beginning long-term occasional (LTO) teachers and any teacher in their first five years who falls outside of the required NTIP definition.</w:t>
      </w:r>
      <w:r w:rsidRPr="00527E09">
        <w:rPr>
          <w:rStyle w:val="FootnoteReference"/>
          <w:rFonts w:cstheme="minorHAnsi"/>
        </w:rPr>
        <w:footnoteReference w:id="11"/>
      </w:r>
      <w:r w:rsidRPr="00527E09">
        <w:rPr>
          <w:rFonts w:cstheme="minorHAnsi"/>
        </w:rPr>
        <w:t xml:space="preserve"> Since 201</w:t>
      </w:r>
      <w:r w:rsidR="00BB5154" w:rsidRPr="00527E09">
        <w:rPr>
          <w:rFonts w:cstheme="minorHAnsi"/>
        </w:rPr>
        <w:t>7</w:t>
      </w:r>
      <w:r w:rsidRPr="00527E09">
        <w:rPr>
          <w:rFonts w:cstheme="minorHAnsi"/>
        </w:rPr>
        <w:t xml:space="preserve">, </w:t>
      </w:r>
      <w:r w:rsidR="00650F9E" w:rsidRPr="00527E09">
        <w:rPr>
          <w:rFonts w:cstheme="minorHAnsi"/>
        </w:rPr>
        <w:t xml:space="preserve">the number of elementary </w:t>
      </w:r>
      <w:r w:rsidRPr="00527E09">
        <w:rPr>
          <w:rFonts w:cstheme="minorHAnsi"/>
        </w:rPr>
        <w:t>school</w:t>
      </w:r>
      <w:r w:rsidR="00650F9E" w:rsidRPr="00527E09">
        <w:rPr>
          <w:rFonts w:cstheme="minorHAnsi"/>
        </w:rPr>
        <w:t xml:space="preserve"> teachers supported by NTIP has varied significantly, from a low of 5</w:t>
      </w:r>
      <w:r w:rsidR="00F33ACC" w:rsidRPr="00527E09">
        <w:rPr>
          <w:rFonts w:cstheme="minorHAnsi"/>
        </w:rPr>
        <w:t>,</w:t>
      </w:r>
      <w:r w:rsidR="00650F9E" w:rsidRPr="00527E09">
        <w:rPr>
          <w:rFonts w:cstheme="minorHAnsi"/>
        </w:rPr>
        <w:t>22</w:t>
      </w:r>
      <w:r w:rsidR="00F33ACC" w:rsidRPr="00527E09">
        <w:rPr>
          <w:rFonts w:cstheme="minorHAnsi"/>
        </w:rPr>
        <w:t>6 in 2017-18 to a high of 7,251 in 2021-22.</w:t>
      </w:r>
      <w:r w:rsidRPr="00527E09">
        <w:rPr>
          <w:rFonts w:cstheme="minorHAnsi"/>
        </w:rPr>
        <w:t xml:space="preserve"> This is a difference of </w:t>
      </w:r>
      <w:r w:rsidR="00D86D6B" w:rsidRPr="00527E09">
        <w:rPr>
          <w:rFonts w:cstheme="minorHAnsi"/>
        </w:rPr>
        <w:t>2,025 teachers supported by the program</w:t>
      </w:r>
      <w:r w:rsidR="00247008" w:rsidRPr="00527E09">
        <w:rPr>
          <w:rFonts w:cstheme="minorHAnsi"/>
        </w:rPr>
        <w:t>,</w:t>
      </w:r>
      <w:r w:rsidRPr="00527E09">
        <w:rPr>
          <w:rFonts w:cstheme="minorHAnsi"/>
        </w:rPr>
        <w:t xml:space="preserve"> and yet the GSN allocation has remained unchanged. This year, the </w:t>
      </w:r>
      <w:r w:rsidR="00BA1605" w:rsidRPr="00527E09">
        <w:rPr>
          <w:rFonts w:cstheme="minorHAnsi"/>
        </w:rPr>
        <w:t>per-</w:t>
      </w:r>
      <w:r w:rsidRPr="00527E09">
        <w:rPr>
          <w:rFonts w:cstheme="minorHAnsi"/>
        </w:rPr>
        <w:t xml:space="preserve">teacher </w:t>
      </w:r>
      <w:r w:rsidR="00BA1605" w:rsidRPr="00527E09">
        <w:rPr>
          <w:rFonts w:cstheme="minorHAnsi"/>
        </w:rPr>
        <w:t xml:space="preserve">funding </w:t>
      </w:r>
      <w:r w:rsidRPr="00527E09">
        <w:rPr>
          <w:rFonts w:cstheme="minorHAnsi"/>
        </w:rPr>
        <w:t>benchmark is $1</w:t>
      </w:r>
      <w:r w:rsidR="00247008" w:rsidRPr="00527E09">
        <w:rPr>
          <w:rFonts w:cstheme="minorHAnsi"/>
        </w:rPr>
        <w:t>,</w:t>
      </w:r>
      <w:r w:rsidRPr="00527E09">
        <w:rPr>
          <w:rFonts w:cstheme="minorHAnsi"/>
        </w:rPr>
        <w:t>058.52</w:t>
      </w:r>
      <w:r w:rsidRPr="00527E09">
        <w:rPr>
          <w:rStyle w:val="FootnoteReference"/>
          <w:rFonts w:cstheme="minorHAnsi"/>
        </w:rPr>
        <w:footnoteReference w:id="12"/>
      </w:r>
      <w:r w:rsidR="00BA1605" w:rsidRPr="00527E09">
        <w:rPr>
          <w:rFonts w:cstheme="minorHAnsi"/>
        </w:rPr>
        <w:t xml:space="preserve">, </w:t>
      </w:r>
      <w:r w:rsidRPr="00527E09">
        <w:rPr>
          <w:rFonts w:cstheme="minorHAnsi"/>
        </w:rPr>
        <w:t>which is the lowest it has been since 2012-13</w:t>
      </w:r>
      <w:r w:rsidR="009F6829" w:rsidRPr="00527E09">
        <w:rPr>
          <w:rFonts w:cstheme="minorHAnsi"/>
        </w:rPr>
        <w:t>,</w:t>
      </w:r>
      <w:r w:rsidRPr="00527E09">
        <w:rPr>
          <w:rFonts w:cstheme="minorHAnsi"/>
        </w:rPr>
        <w:t xml:space="preserve"> yet the number of teachers requiring support is at its highest</w:t>
      </w:r>
      <w:r w:rsidR="009F6829" w:rsidRPr="00527E09">
        <w:rPr>
          <w:rFonts w:cstheme="minorHAnsi"/>
        </w:rPr>
        <w:t xml:space="preserve"> level</w:t>
      </w:r>
      <w:r w:rsidRPr="00527E09">
        <w:rPr>
          <w:rFonts w:cstheme="minorHAnsi"/>
        </w:rPr>
        <w:t>.</w:t>
      </w:r>
      <w:r w:rsidR="00557D92" w:rsidRPr="00527E09">
        <w:rPr>
          <w:rFonts w:cstheme="minorHAnsi"/>
        </w:rPr>
        <w:t xml:space="preserve"> </w:t>
      </w:r>
    </w:p>
    <w:p w14:paraId="53B02B5B" w14:textId="4E23461D" w:rsidR="001F55F3" w:rsidRPr="00527E09" w:rsidRDefault="001042AA" w:rsidP="001F55F3">
      <w:pPr>
        <w:spacing w:line="480" w:lineRule="auto"/>
      </w:pPr>
      <w:bookmarkStart w:id="21" w:name="_Hlk88733070"/>
      <w:r w:rsidRPr="00527E09">
        <w:t>One of the largest costs associated with the implementation of NTIP is the cost of release time for teachers supported by the program, which is determined by daily occasional teacher rates. These rates have increased over the past few years, and yet the allocation to NTIP has remained unchanged since 2010-11. The funding allocation for NTIP has simply not kept up with either inflationary costs or the increase in the number of new teachers entering the public education system.</w:t>
      </w:r>
    </w:p>
    <w:bookmarkEnd w:id="21"/>
    <w:p w14:paraId="48D81C1A" w14:textId="0E5DAF28" w:rsidR="00E16DA5" w:rsidRPr="00527E09" w:rsidRDefault="00E16DA5" w:rsidP="001F55F3">
      <w:pPr>
        <w:spacing w:line="480" w:lineRule="auto"/>
        <w:rPr>
          <w:rFonts w:cstheme="minorHAnsi"/>
        </w:rPr>
      </w:pPr>
      <w:r w:rsidRPr="00527E09">
        <w:rPr>
          <w:rFonts w:cstheme="minorHAnsi"/>
        </w:rPr>
        <w:t xml:space="preserve">When funding from the NTIP allocation is insufficient, boards </w:t>
      </w:r>
      <w:r w:rsidR="00B82D55" w:rsidRPr="00527E09">
        <w:rPr>
          <w:rFonts w:cstheme="minorHAnsi"/>
        </w:rPr>
        <w:t>can</w:t>
      </w:r>
      <w:r w:rsidRPr="00527E09">
        <w:rPr>
          <w:rFonts w:cstheme="minorHAnsi"/>
        </w:rPr>
        <w:t xml:space="preserve"> apply and access the New Teacher Induction Program-Enhancing Teacher Development Fund (NTIP-ETD) ($1.0 M) made available through the Priorities and Partnerships Funding (PPF). As the Ministry </w:t>
      </w:r>
      <w:r w:rsidR="00B82D55" w:rsidRPr="00527E09">
        <w:rPr>
          <w:rFonts w:cstheme="minorHAnsi"/>
        </w:rPr>
        <w:t>states</w:t>
      </w:r>
      <w:r w:rsidRPr="00527E09">
        <w:rPr>
          <w:rFonts w:cstheme="minorHAnsi"/>
        </w:rPr>
        <w:t xml:space="preserve"> in its </w:t>
      </w:r>
      <w:r w:rsidRPr="00527E09">
        <w:rPr>
          <w:rFonts w:cstheme="minorHAnsi"/>
          <w:i/>
          <w:iCs/>
        </w:rPr>
        <w:t xml:space="preserve">B10 Memo 2021-22 Priorities and </w:t>
      </w:r>
      <w:r w:rsidRPr="00527E09">
        <w:rPr>
          <w:rFonts w:cstheme="minorHAnsi"/>
          <w:i/>
          <w:iCs/>
        </w:rPr>
        <w:lastRenderedPageBreak/>
        <w:t>Partnerships Funding (PPF),</w:t>
      </w:r>
      <w:r w:rsidRPr="00527E09">
        <w:rPr>
          <w:rFonts w:cstheme="minorHAnsi"/>
        </w:rPr>
        <w:t xml:space="preserve"> “the NTIP-ETD supplements the GSN funding formula by providing funded support for boards who experience a significant increase in the number of new permanent hires from the previous year and/or have new hires past Year 2 on the Teacher Qualifications and Experience Grid. Boards apply to the ministry for funding if either of these categories impact their ability to support the development of their new teachers. For some boards this funding is critical to the delivery of NTIP as these new teachers must be supported and are required to successfully complete two teacher performance appraisals.” </w:t>
      </w:r>
      <w:r w:rsidRPr="00527E09">
        <w:rPr>
          <w:rStyle w:val="FootnoteReference"/>
          <w:rFonts w:cstheme="minorHAnsi"/>
        </w:rPr>
        <w:footnoteReference w:id="13"/>
      </w:r>
    </w:p>
    <w:p w14:paraId="6FB01BDE" w14:textId="66300159" w:rsidR="00E16DA5" w:rsidRPr="00527E09" w:rsidRDefault="00E16DA5" w:rsidP="001F55F3">
      <w:pPr>
        <w:spacing w:line="480" w:lineRule="auto"/>
        <w:rPr>
          <w:rFonts w:cstheme="minorHAnsi"/>
        </w:rPr>
      </w:pPr>
      <w:r w:rsidRPr="00527E09">
        <w:rPr>
          <w:rFonts w:cstheme="minorHAnsi"/>
        </w:rPr>
        <w:t>While the absence of a fixed benchmark for NTIP might create</w:t>
      </w:r>
      <w:r w:rsidR="009E4E36" w:rsidRPr="00527E09">
        <w:rPr>
          <w:rFonts w:cstheme="minorHAnsi"/>
        </w:rPr>
        <w:t xml:space="preserve"> some</w:t>
      </w:r>
      <w:r w:rsidRPr="00527E09">
        <w:rPr>
          <w:rFonts w:cstheme="minorHAnsi"/>
        </w:rPr>
        <w:t xml:space="preserve"> challenges for school boards</w:t>
      </w:r>
      <w:r w:rsidR="00C91853" w:rsidRPr="00527E09">
        <w:rPr>
          <w:rFonts w:cstheme="minorHAnsi"/>
        </w:rPr>
        <w:t xml:space="preserve"> in dealing with the fluctuation in the number of new teachers in a any given year, the </w:t>
      </w:r>
      <w:r w:rsidR="00C00E1F" w:rsidRPr="00527E09">
        <w:rPr>
          <w:rFonts w:cstheme="minorHAnsi"/>
        </w:rPr>
        <w:t>root</w:t>
      </w:r>
      <w:r w:rsidR="00C91853" w:rsidRPr="00527E09">
        <w:rPr>
          <w:rFonts w:cstheme="minorHAnsi"/>
        </w:rPr>
        <w:t xml:space="preserve"> problem is the insufficient amount allocated by the Ministry for NTIP. As stated earlier, school boards are being asked to </w:t>
      </w:r>
      <w:r w:rsidR="00A666D0" w:rsidRPr="00527E09">
        <w:rPr>
          <w:rFonts w:cstheme="minorHAnsi"/>
        </w:rPr>
        <w:t xml:space="preserve">do </w:t>
      </w:r>
      <w:r w:rsidR="00C91853" w:rsidRPr="00527E09">
        <w:rPr>
          <w:rFonts w:cstheme="minorHAnsi"/>
        </w:rPr>
        <w:t>more with less</w:t>
      </w:r>
      <w:r w:rsidR="00557D92" w:rsidRPr="00527E09">
        <w:rPr>
          <w:rFonts w:cstheme="minorHAnsi"/>
        </w:rPr>
        <w:t>.</w:t>
      </w:r>
      <w:r w:rsidR="009E4E36" w:rsidRPr="00527E09">
        <w:rPr>
          <w:rFonts w:cstheme="minorHAnsi"/>
        </w:rPr>
        <w:t xml:space="preserve"> </w:t>
      </w:r>
      <w:r w:rsidR="00445D3E" w:rsidRPr="00527E09">
        <w:rPr>
          <w:rFonts w:cstheme="minorHAnsi"/>
        </w:rPr>
        <w:t>To</w:t>
      </w:r>
      <w:r w:rsidR="003F157C" w:rsidRPr="00527E09">
        <w:rPr>
          <w:rFonts w:cstheme="minorHAnsi"/>
        </w:rPr>
        <w:t xml:space="preserve"> achieve the stated objectives of NTIP, the GSN </w:t>
      </w:r>
      <w:r w:rsidR="009E4E36" w:rsidRPr="00527E09">
        <w:rPr>
          <w:rFonts w:cstheme="minorHAnsi"/>
        </w:rPr>
        <w:t>allocation</w:t>
      </w:r>
      <w:r w:rsidR="003F157C" w:rsidRPr="00527E09">
        <w:rPr>
          <w:rFonts w:cstheme="minorHAnsi"/>
        </w:rPr>
        <w:t xml:space="preserve"> for this program</w:t>
      </w:r>
      <w:r w:rsidR="009E4E36" w:rsidRPr="00527E09">
        <w:rPr>
          <w:rFonts w:cstheme="minorHAnsi"/>
        </w:rPr>
        <w:t xml:space="preserve"> must </w:t>
      </w:r>
      <w:r w:rsidR="00C00E1F" w:rsidRPr="00527E09">
        <w:rPr>
          <w:rFonts w:cstheme="minorHAnsi"/>
        </w:rPr>
        <w:t xml:space="preserve">be </w:t>
      </w:r>
      <w:r w:rsidR="009E4E36" w:rsidRPr="00527E09">
        <w:rPr>
          <w:rFonts w:cstheme="minorHAnsi"/>
        </w:rPr>
        <w:t>increase</w:t>
      </w:r>
      <w:r w:rsidR="00C00E1F" w:rsidRPr="00527E09">
        <w:rPr>
          <w:rFonts w:cstheme="minorHAnsi"/>
        </w:rPr>
        <w:t>d not only to reflect inflationary costs, but also the increased number of new teachers entering the system.</w:t>
      </w:r>
      <w:r w:rsidR="009E4E36" w:rsidRPr="00527E09">
        <w:rPr>
          <w:rFonts w:cstheme="minorHAnsi"/>
        </w:rPr>
        <w:t xml:space="preserve"> </w:t>
      </w:r>
    </w:p>
    <w:p w14:paraId="79AF9FAE" w14:textId="1BFA1D94" w:rsidR="001F55F3" w:rsidRPr="00527E09" w:rsidRDefault="001F55F3" w:rsidP="001F55F3">
      <w:pPr>
        <w:spacing w:line="480" w:lineRule="auto"/>
        <w:rPr>
          <w:rFonts w:cstheme="minorHAnsi"/>
        </w:rPr>
      </w:pPr>
      <w:r w:rsidRPr="00527E09">
        <w:rPr>
          <w:rFonts w:cstheme="minorHAnsi"/>
        </w:rPr>
        <w:t xml:space="preserve">A change in the formula to a fixed benchmark would not be recommended as it could have negative effects. </w:t>
      </w:r>
      <w:r w:rsidR="0072408A" w:rsidRPr="00527E09">
        <w:rPr>
          <w:rFonts w:cstheme="minorHAnsi"/>
          <w:bCs/>
        </w:rPr>
        <w:t>For example, i</w:t>
      </w:r>
      <w:r w:rsidR="00840302" w:rsidRPr="00527E09">
        <w:rPr>
          <w:rFonts w:cstheme="minorHAnsi"/>
          <w:bCs/>
        </w:rPr>
        <w:t>f</w:t>
      </w:r>
      <w:r w:rsidRPr="00527E09">
        <w:rPr>
          <w:rFonts w:cstheme="minorHAnsi"/>
        </w:rPr>
        <w:t xml:space="preserve"> a board </w:t>
      </w:r>
      <w:r w:rsidR="007F7220" w:rsidRPr="00527E09">
        <w:rPr>
          <w:rFonts w:cstheme="minorHAnsi"/>
        </w:rPr>
        <w:t>were to see</w:t>
      </w:r>
      <w:r w:rsidRPr="00527E09">
        <w:rPr>
          <w:rFonts w:cstheme="minorHAnsi"/>
        </w:rPr>
        <w:t xml:space="preserve"> a large influx of new hires, a fixed benchmark would mean the same amount of money to support more teachers thus compromising the current quality and richness of professional development accessible to newly hired teachers in their first </w:t>
      </w:r>
      <w:r w:rsidR="00840302" w:rsidRPr="00527E09">
        <w:rPr>
          <w:rFonts w:cstheme="minorHAnsi"/>
        </w:rPr>
        <w:t>five</w:t>
      </w:r>
      <w:r w:rsidRPr="00527E09">
        <w:rPr>
          <w:rFonts w:cstheme="minorHAnsi"/>
        </w:rPr>
        <w:t xml:space="preserve"> years and the ongoing development of mentorship programs/supports. </w:t>
      </w:r>
      <w:r w:rsidR="00840302" w:rsidRPr="00527E09">
        <w:rPr>
          <w:rFonts w:cstheme="minorHAnsi"/>
        </w:rPr>
        <w:t>Alternatively</w:t>
      </w:r>
      <w:r w:rsidRPr="00527E09">
        <w:rPr>
          <w:rFonts w:cstheme="minorHAnsi"/>
        </w:rPr>
        <w:t>, should teacher numbers drop</w:t>
      </w:r>
      <w:r w:rsidR="0072408A" w:rsidRPr="00527E09">
        <w:rPr>
          <w:rFonts w:cstheme="minorHAnsi"/>
        </w:rPr>
        <w:t>,</w:t>
      </w:r>
      <w:r w:rsidRPr="00527E09">
        <w:rPr>
          <w:rFonts w:cstheme="minorHAnsi"/>
        </w:rPr>
        <w:t xml:space="preserve"> a fixed benchmark may mean that not all funds are spent which could</w:t>
      </w:r>
      <w:r w:rsidR="0072408A" w:rsidRPr="00527E09">
        <w:rPr>
          <w:rFonts w:cstheme="minorHAnsi"/>
        </w:rPr>
        <w:t>,</w:t>
      </w:r>
      <w:r w:rsidRPr="00527E09">
        <w:rPr>
          <w:rFonts w:cstheme="minorHAnsi"/>
        </w:rPr>
        <w:t xml:space="preserve"> in turn</w:t>
      </w:r>
      <w:r w:rsidR="0072408A" w:rsidRPr="00527E09">
        <w:rPr>
          <w:rFonts w:cstheme="minorHAnsi"/>
        </w:rPr>
        <w:t>,</w:t>
      </w:r>
      <w:r w:rsidRPr="00527E09">
        <w:rPr>
          <w:rFonts w:cstheme="minorHAnsi"/>
        </w:rPr>
        <w:t xml:space="preserve"> lead to NTIP programs that will shrink over time. Through supplemental funding made available through the PPF, the current funding </w:t>
      </w:r>
      <w:r w:rsidR="00840302" w:rsidRPr="00527E09">
        <w:rPr>
          <w:rFonts w:cstheme="minorHAnsi"/>
        </w:rPr>
        <w:t>could work</w:t>
      </w:r>
      <w:r w:rsidRPr="00527E09">
        <w:rPr>
          <w:rFonts w:cstheme="minorHAnsi"/>
        </w:rPr>
        <w:t xml:space="preserve"> in a way that is responsive to variances that may happen for some districts from one year to another</w:t>
      </w:r>
      <w:r w:rsidR="00840302" w:rsidRPr="00527E09">
        <w:rPr>
          <w:rFonts w:cstheme="minorHAnsi"/>
        </w:rPr>
        <w:t xml:space="preserve">, </w:t>
      </w:r>
      <w:r w:rsidR="00840302" w:rsidRPr="00527E09">
        <w:rPr>
          <w:rFonts w:cstheme="minorHAnsi"/>
        </w:rPr>
        <w:lastRenderedPageBreak/>
        <w:t xml:space="preserve">however both the </w:t>
      </w:r>
      <w:r w:rsidR="00A85AC0" w:rsidRPr="00527E09">
        <w:rPr>
          <w:rFonts w:cstheme="minorHAnsi"/>
        </w:rPr>
        <w:t>NTIP allocation in the GSN and the supplemental funding made available through the PPF should be increased.</w:t>
      </w:r>
      <w:r w:rsidR="00840302" w:rsidRPr="00527E09">
        <w:rPr>
          <w:rFonts w:cstheme="minorHAnsi"/>
        </w:rPr>
        <w:t xml:space="preserve"> </w:t>
      </w:r>
    </w:p>
    <w:p w14:paraId="618DCD92" w14:textId="77777777" w:rsidR="001F55F3" w:rsidRPr="00527E09" w:rsidRDefault="001F55F3" w:rsidP="00DA4FCC">
      <w:pPr>
        <w:pStyle w:val="Heading2"/>
      </w:pPr>
      <w:r w:rsidRPr="00527E09">
        <w:t xml:space="preserve">Recommendations: </w:t>
      </w:r>
    </w:p>
    <w:p w14:paraId="3A1E30A5" w14:textId="6F9CA358" w:rsidR="0094364D" w:rsidRPr="00527E09" w:rsidRDefault="0094364D" w:rsidP="004032BC">
      <w:pPr>
        <w:pStyle w:val="Reccomendations"/>
      </w:pPr>
      <w:r w:rsidRPr="00527E09">
        <w:t>That the NTIP Allocation in the GSN be increased to account for inflationary costs and for an increase in the number of new teachers entering the public school system.</w:t>
      </w:r>
      <w:r w:rsidRPr="00527E09">
        <w:br/>
      </w:r>
    </w:p>
    <w:p w14:paraId="505EAAB7" w14:textId="654D7CE6" w:rsidR="0094364D" w:rsidRPr="00527E09" w:rsidRDefault="0094364D" w:rsidP="0094364D">
      <w:pPr>
        <w:pStyle w:val="ListParagraph"/>
        <w:numPr>
          <w:ilvl w:val="0"/>
          <w:numId w:val="7"/>
        </w:numPr>
        <w:spacing w:after="0" w:line="240" w:lineRule="auto"/>
        <w:contextualSpacing w:val="0"/>
        <w:rPr>
          <w:rFonts w:eastAsia="Times New Roman"/>
        </w:rPr>
      </w:pPr>
      <w:r w:rsidRPr="00527E09">
        <w:rPr>
          <w:rFonts w:eastAsia="Times New Roman"/>
        </w:rPr>
        <w:t xml:space="preserve">That the NTIP Allocation criteria continue to reflect the number of teachers eligible for NTIP to ensure that fluctuations in new teachers </w:t>
      </w:r>
      <w:r w:rsidR="0072408A" w:rsidRPr="00527E09">
        <w:rPr>
          <w:rFonts w:eastAsia="Times New Roman"/>
        </w:rPr>
        <w:t xml:space="preserve">are </w:t>
      </w:r>
      <w:r w:rsidRPr="00527E09">
        <w:rPr>
          <w:rFonts w:eastAsia="Times New Roman"/>
        </w:rPr>
        <w:t>accounted for.</w:t>
      </w:r>
      <w:r w:rsidRPr="00527E09">
        <w:rPr>
          <w:rFonts w:eastAsia="Times New Roman"/>
        </w:rPr>
        <w:br/>
      </w:r>
    </w:p>
    <w:p w14:paraId="145A3714" w14:textId="443D235F" w:rsidR="0094364D" w:rsidRPr="00527E09" w:rsidRDefault="0094364D" w:rsidP="0094364D">
      <w:pPr>
        <w:pStyle w:val="ListParagraph"/>
        <w:numPr>
          <w:ilvl w:val="0"/>
          <w:numId w:val="7"/>
        </w:numPr>
        <w:spacing w:after="0" w:line="240" w:lineRule="auto"/>
        <w:contextualSpacing w:val="0"/>
        <w:rPr>
          <w:rFonts w:eastAsia="Times New Roman"/>
        </w:rPr>
      </w:pPr>
      <w:r w:rsidRPr="00527E09">
        <w:rPr>
          <w:rFonts w:eastAsia="Times New Roman"/>
        </w:rPr>
        <w:t>That the NTIP supplemental funding available through the PPF be increased to</w:t>
      </w:r>
      <w:r w:rsidR="00EE512C" w:rsidRPr="00527E09">
        <w:rPr>
          <w:rFonts w:eastAsia="Times New Roman"/>
        </w:rPr>
        <w:t xml:space="preserve"> </w:t>
      </w:r>
      <w:r w:rsidR="00AA0EE8" w:rsidRPr="00527E09">
        <w:rPr>
          <w:rFonts w:eastAsia="Times New Roman"/>
        </w:rPr>
        <w:t>address sharp increases in the number of new teachers entering the public school system.</w:t>
      </w:r>
    </w:p>
    <w:p w14:paraId="50E61D08" w14:textId="77777777" w:rsidR="00980187" w:rsidRPr="00527E09" w:rsidRDefault="00980187" w:rsidP="004032BC">
      <w:pPr>
        <w:pStyle w:val="Reccomendations"/>
        <w:numPr>
          <w:ilvl w:val="0"/>
          <w:numId w:val="0"/>
        </w:numPr>
      </w:pPr>
    </w:p>
    <w:p w14:paraId="58ACBB92" w14:textId="0907EF2F" w:rsidR="00AC6F6F" w:rsidRPr="00527E09" w:rsidRDefault="008A54ED" w:rsidP="00661A35">
      <w:pPr>
        <w:pStyle w:val="Heading1"/>
      </w:pPr>
      <w:bookmarkStart w:id="22" w:name="_Toc89070405"/>
      <w:r w:rsidRPr="00527E09">
        <w:t>Support for Students with Special Needs</w:t>
      </w:r>
      <w:bookmarkEnd w:id="22"/>
    </w:p>
    <w:p w14:paraId="6C225E0B" w14:textId="68BD5DFE" w:rsidR="00661A35" w:rsidRPr="00527E09" w:rsidRDefault="00661A35" w:rsidP="00661A35">
      <w:pPr>
        <w:spacing w:line="480" w:lineRule="auto"/>
        <w:rPr>
          <w:rFonts w:cstheme="minorHAnsi"/>
        </w:rPr>
      </w:pPr>
      <w:r w:rsidRPr="00527E09">
        <w:rPr>
          <w:rFonts w:cstheme="minorHAnsi"/>
        </w:rPr>
        <w:t xml:space="preserve">Students with special education needs are not getting the front-line supports and services they need. Inadequate supports have a bigger impact on students who face additional barriers, such as Black, Indigenous, and racialized students, students from </w:t>
      </w:r>
      <w:r w:rsidR="0072408A" w:rsidRPr="00527E09">
        <w:rPr>
          <w:rFonts w:cstheme="minorHAnsi"/>
          <w:bCs/>
        </w:rPr>
        <w:t>disadvantaged</w:t>
      </w:r>
      <w:r w:rsidR="0072408A" w:rsidRPr="00527E09">
        <w:rPr>
          <w:rFonts w:cstheme="minorHAnsi"/>
        </w:rPr>
        <w:t xml:space="preserve"> </w:t>
      </w:r>
      <w:r w:rsidRPr="00527E09">
        <w:rPr>
          <w:rFonts w:cstheme="minorHAnsi"/>
        </w:rPr>
        <w:t xml:space="preserve">socio-economic backgrounds, and those who are English Language Learners. </w:t>
      </w:r>
    </w:p>
    <w:p w14:paraId="1E838073" w14:textId="765ED37A" w:rsidR="00661A35" w:rsidRPr="00527E09" w:rsidRDefault="0072408A" w:rsidP="00661A35">
      <w:pPr>
        <w:spacing w:line="480" w:lineRule="auto"/>
        <w:rPr>
          <w:rFonts w:cstheme="minorHAnsi"/>
        </w:rPr>
      </w:pPr>
      <w:r w:rsidRPr="00527E09">
        <w:rPr>
          <w:rFonts w:cstheme="minorHAnsi"/>
          <w:bCs/>
        </w:rPr>
        <w:t>These</w:t>
      </w:r>
      <w:r w:rsidRPr="00527E09">
        <w:rPr>
          <w:rFonts w:cstheme="minorHAnsi"/>
        </w:rPr>
        <w:t xml:space="preserve"> s</w:t>
      </w:r>
      <w:r w:rsidR="00661A35" w:rsidRPr="00527E09">
        <w:rPr>
          <w:rFonts w:cstheme="minorHAnsi"/>
        </w:rPr>
        <w:t xml:space="preserve">tudents need access to educational assistants, behavioural counsellors, child and youth workers, psychologists, and speech and language pathologists to help them learn and thrive. </w:t>
      </w:r>
    </w:p>
    <w:p w14:paraId="5212AFD8" w14:textId="0960E4D8" w:rsidR="00BF62D2" w:rsidRPr="00527E09" w:rsidRDefault="00661A35" w:rsidP="00661A35">
      <w:pPr>
        <w:spacing w:line="480" w:lineRule="auto"/>
        <w:rPr>
          <w:rFonts w:cstheme="minorHAnsi"/>
        </w:rPr>
      </w:pPr>
      <w:r w:rsidRPr="00527E09">
        <w:rPr>
          <w:rFonts w:cstheme="minorHAnsi"/>
        </w:rPr>
        <w:t xml:space="preserve">Meeting the special education needs of students is a constant challenge for any government. A substantial portion of </w:t>
      </w:r>
      <w:r w:rsidR="00C92190" w:rsidRPr="00527E09">
        <w:rPr>
          <w:rFonts w:cstheme="minorHAnsi"/>
        </w:rPr>
        <w:t xml:space="preserve">existing special education </w:t>
      </w:r>
      <w:r w:rsidRPr="00527E09">
        <w:rPr>
          <w:rFonts w:cstheme="minorHAnsi"/>
        </w:rPr>
        <w:t xml:space="preserve">funding </w:t>
      </w:r>
      <w:r w:rsidR="00C92190" w:rsidRPr="00527E09">
        <w:rPr>
          <w:rFonts w:cstheme="minorHAnsi"/>
        </w:rPr>
        <w:t xml:space="preserve">is currently based on a predictive statistical model </w:t>
      </w:r>
      <w:r w:rsidRPr="00527E09">
        <w:rPr>
          <w:rFonts w:cstheme="minorHAnsi"/>
        </w:rPr>
        <w:t xml:space="preserve">tied to </w:t>
      </w:r>
      <w:r w:rsidR="00732CD8" w:rsidRPr="00527E09">
        <w:rPr>
          <w:rFonts w:cstheme="minorHAnsi"/>
        </w:rPr>
        <w:t xml:space="preserve">overall </w:t>
      </w:r>
      <w:r w:rsidRPr="00527E09">
        <w:rPr>
          <w:rFonts w:cstheme="minorHAnsi"/>
        </w:rPr>
        <w:t>enrolment</w:t>
      </w:r>
      <w:r w:rsidR="00732CD8" w:rsidRPr="00527E09">
        <w:rPr>
          <w:rFonts w:cstheme="minorHAnsi"/>
        </w:rPr>
        <w:t xml:space="preserve"> numbers</w:t>
      </w:r>
      <w:r w:rsidR="00C92190" w:rsidRPr="00527E09">
        <w:rPr>
          <w:rFonts w:cstheme="minorHAnsi"/>
        </w:rPr>
        <w:t>. Unfortunately</w:t>
      </w:r>
      <w:r w:rsidR="000E289E" w:rsidRPr="00527E09">
        <w:rPr>
          <w:rFonts w:cstheme="minorHAnsi"/>
        </w:rPr>
        <w:t>,</w:t>
      </w:r>
      <w:r w:rsidR="00C92190" w:rsidRPr="00527E09">
        <w:rPr>
          <w:rFonts w:cstheme="minorHAnsi"/>
        </w:rPr>
        <w:t xml:space="preserve"> this model fails to account for the increase in participation </w:t>
      </w:r>
      <w:r w:rsidR="00C50610" w:rsidRPr="00527E09">
        <w:rPr>
          <w:rFonts w:cstheme="minorHAnsi"/>
        </w:rPr>
        <w:t>in special education programs and services that Ontario’s public schools have observed over the past few years</w:t>
      </w:r>
      <w:r w:rsidR="00FF0706" w:rsidRPr="00527E09">
        <w:rPr>
          <w:rFonts w:cstheme="minorHAnsi"/>
        </w:rPr>
        <w:t>.</w:t>
      </w:r>
      <w:r w:rsidR="004C7672" w:rsidRPr="00527E09">
        <w:rPr>
          <w:rFonts w:cstheme="minorHAnsi"/>
        </w:rPr>
        <w:t xml:space="preserve"> It also fails to account for the differences in needs among students requiring special education supports. Special education funding must be based upon the actual needs of students.</w:t>
      </w:r>
    </w:p>
    <w:p w14:paraId="5CBFB61B" w14:textId="50680D9C" w:rsidR="009E307C" w:rsidRPr="00527E09" w:rsidRDefault="00FF0706" w:rsidP="00661A35">
      <w:pPr>
        <w:spacing w:line="480" w:lineRule="auto"/>
        <w:rPr>
          <w:rFonts w:cstheme="minorHAnsi"/>
        </w:rPr>
      </w:pPr>
      <w:r w:rsidRPr="00527E09">
        <w:rPr>
          <w:rFonts w:cstheme="minorHAnsi"/>
        </w:rPr>
        <w:lastRenderedPageBreak/>
        <w:t>In 2013-</w:t>
      </w:r>
      <w:r w:rsidR="006D1859" w:rsidRPr="00527E09">
        <w:rPr>
          <w:rFonts w:cstheme="minorHAnsi"/>
        </w:rPr>
        <w:t xml:space="preserve">14, </w:t>
      </w:r>
      <w:r w:rsidR="004465AF" w:rsidRPr="00527E09">
        <w:rPr>
          <w:rFonts w:cstheme="minorHAnsi"/>
        </w:rPr>
        <w:t xml:space="preserve">340,562 students, representing </w:t>
      </w:r>
      <w:r w:rsidR="0058514A" w:rsidRPr="00527E09">
        <w:rPr>
          <w:rFonts w:cstheme="minorHAnsi"/>
        </w:rPr>
        <w:t xml:space="preserve">16.3 per cent of </w:t>
      </w:r>
      <w:r w:rsidR="004465AF" w:rsidRPr="00527E09">
        <w:rPr>
          <w:rFonts w:cstheme="minorHAnsi"/>
        </w:rPr>
        <w:t xml:space="preserve">all </w:t>
      </w:r>
      <w:r w:rsidR="0058514A" w:rsidRPr="00527E09">
        <w:rPr>
          <w:rFonts w:cstheme="minorHAnsi"/>
        </w:rPr>
        <w:t>students</w:t>
      </w:r>
      <w:r w:rsidR="004465AF" w:rsidRPr="00527E09">
        <w:rPr>
          <w:rFonts w:cstheme="minorHAnsi"/>
        </w:rPr>
        <w:t>,</w:t>
      </w:r>
      <w:r w:rsidR="0058514A" w:rsidRPr="00527E09">
        <w:rPr>
          <w:rFonts w:cstheme="minorHAnsi"/>
        </w:rPr>
        <w:t xml:space="preserve"> received special education programs or services. By 2019-20,</w:t>
      </w:r>
      <w:r w:rsidR="004465AF" w:rsidRPr="00527E09">
        <w:rPr>
          <w:rFonts w:cstheme="minorHAnsi"/>
        </w:rPr>
        <w:t xml:space="preserve"> this number had increased to </w:t>
      </w:r>
      <w:r w:rsidR="00F57BEE" w:rsidRPr="00527E09">
        <w:rPr>
          <w:rFonts w:cstheme="minorHAnsi"/>
        </w:rPr>
        <w:t>364,038, representing</w:t>
      </w:r>
      <w:r w:rsidR="0058514A" w:rsidRPr="00527E09">
        <w:rPr>
          <w:rFonts w:cstheme="minorHAnsi"/>
        </w:rPr>
        <w:t xml:space="preserve"> 17.7 per cent of students</w:t>
      </w:r>
      <w:r w:rsidR="00CF0696" w:rsidRPr="00527E09">
        <w:rPr>
          <w:rFonts w:cstheme="minorHAnsi"/>
        </w:rPr>
        <w:t xml:space="preserve"> </w:t>
      </w:r>
      <w:r w:rsidR="00CF0696" w:rsidRPr="00527E09">
        <w:rPr>
          <w:rFonts w:cstheme="minorHAnsi"/>
          <w:bCs/>
        </w:rPr>
        <w:t>that</w:t>
      </w:r>
      <w:r w:rsidR="0058514A" w:rsidRPr="00527E09">
        <w:rPr>
          <w:rFonts w:cstheme="minorHAnsi"/>
        </w:rPr>
        <w:t xml:space="preserve"> were accessing these programs and services</w:t>
      </w:r>
      <w:r w:rsidR="003B49B8" w:rsidRPr="00527E09">
        <w:rPr>
          <w:rFonts w:cstheme="minorHAnsi"/>
        </w:rPr>
        <w:t xml:space="preserve">. Special education funding has not kept up, either with inflationary costs, </w:t>
      </w:r>
      <w:r w:rsidR="00462BB0" w:rsidRPr="00527E09">
        <w:rPr>
          <w:rFonts w:cstheme="minorHAnsi"/>
        </w:rPr>
        <w:t>or</w:t>
      </w:r>
      <w:r w:rsidR="003B49B8" w:rsidRPr="00527E09">
        <w:rPr>
          <w:rFonts w:cstheme="minorHAnsi"/>
        </w:rPr>
        <w:t xml:space="preserve"> with</w:t>
      </w:r>
      <w:r w:rsidR="00CF0696" w:rsidRPr="00527E09">
        <w:rPr>
          <w:rFonts w:cstheme="minorHAnsi"/>
        </w:rPr>
        <w:t xml:space="preserve"> </w:t>
      </w:r>
      <w:r w:rsidR="00CF0696" w:rsidRPr="00527E09">
        <w:rPr>
          <w:rFonts w:cstheme="minorHAnsi"/>
          <w:bCs/>
        </w:rPr>
        <w:t>students’ increasing need</w:t>
      </w:r>
      <w:r w:rsidR="003B49B8" w:rsidRPr="00527E09">
        <w:rPr>
          <w:rFonts w:cstheme="minorHAnsi"/>
          <w:bCs/>
        </w:rPr>
        <w:t xml:space="preserve"> </w:t>
      </w:r>
      <w:r w:rsidR="00F57BEE" w:rsidRPr="00527E09">
        <w:rPr>
          <w:rFonts w:cstheme="minorHAnsi"/>
          <w:bCs/>
        </w:rPr>
        <w:t>for</w:t>
      </w:r>
      <w:r w:rsidR="00F57BEE" w:rsidRPr="00527E09">
        <w:rPr>
          <w:rFonts w:cstheme="minorHAnsi"/>
        </w:rPr>
        <w:t xml:space="preserve"> special education supports. </w:t>
      </w:r>
      <w:r w:rsidR="007127D9" w:rsidRPr="00527E09">
        <w:rPr>
          <w:rFonts w:cstheme="minorHAnsi"/>
        </w:rPr>
        <w:t>The government must increase special education funding</w:t>
      </w:r>
      <w:r w:rsidR="00CF7EA6" w:rsidRPr="00527E09">
        <w:rPr>
          <w:rFonts w:cstheme="minorHAnsi"/>
        </w:rPr>
        <w:t xml:space="preserve"> to address this funding gap and ensure that special education grants are</w:t>
      </w:r>
      <w:r w:rsidR="007127D9" w:rsidRPr="00527E09">
        <w:rPr>
          <w:rFonts w:cstheme="minorHAnsi"/>
        </w:rPr>
        <w:t xml:space="preserve"> based on the </w:t>
      </w:r>
      <w:r w:rsidR="00CF7EA6" w:rsidRPr="00527E09">
        <w:rPr>
          <w:rFonts w:cstheme="minorHAnsi"/>
        </w:rPr>
        <w:t xml:space="preserve">actual </w:t>
      </w:r>
      <w:r w:rsidR="007127D9" w:rsidRPr="00527E09">
        <w:rPr>
          <w:rFonts w:cstheme="minorHAnsi"/>
        </w:rPr>
        <w:t>education needs of students.</w:t>
      </w:r>
    </w:p>
    <w:p w14:paraId="6B4D7313" w14:textId="4F5A3C05" w:rsidR="00FA63D3" w:rsidRPr="00527E09" w:rsidRDefault="00FA63D3" w:rsidP="00661A35">
      <w:pPr>
        <w:spacing w:line="480" w:lineRule="auto"/>
        <w:rPr>
          <w:rFonts w:cstheme="minorHAnsi"/>
        </w:rPr>
      </w:pPr>
      <w:r w:rsidRPr="00527E09">
        <w:rPr>
          <w:rFonts w:cstheme="minorHAnsi"/>
        </w:rPr>
        <w:t xml:space="preserve">Occasional teachers and occasional education workers face additional challenges, as they often need to support students without knowledge of their individual needs and without the benefit of an ongoing rapport with the students. The government should allocate funding </w:t>
      </w:r>
      <w:r w:rsidR="0069690C" w:rsidRPr="00527E09">
        <w:rPr>
          <w:rFonts w:cstheme="minorHAnsi"/>
        </w:rPr>
        <w:t>to provide</w:t>
      </w:r>
      <w:r w:rsidRPr="00527E09">
        <w:rPr>
          <w:rFonts w:cstheme="minorHAnsi"/>
        </w:rPr>
        <w:t xml:space="preserve"> paid professional development on teaching and educational strategies to support students with special needs.</w:t>
      </w:r>
    </w:p>
    <w:p w14:paraId="4EA028D2" w14:textId="393DC270" w:rsidR="00CF7EA6" w:rsidRPr="00527E09" w:rsidRDefault="00CF7EA6" w:rsidP="00DA4FCC">
      <w:pPr>
        <w:pStyle w:val="Heading2"/>
      </w:pPr>
      <w:r w:rsidRPr="00527E09">
        <w:t>Recommendations:</w:t>
      </w:r>
    </w:p>
    <w:p w14:paraId="1A165DCC" w14:textId="301DE529" w:rsidR="00BF62D2" w:rsidRPr="00527E09" w:rsidRDefault="008D713A" w:rsidP="00767922">
      <w:pPr>
        <w:pStyle w:val="Reccomendations"/>
      </w:pPr>
      <w:r w:rsidRPr="00527E09">
        <w:t>That special education</w:t>
      </w:r>
      <w:r w:rsidR="00767922" w:rsidRPr="00527E09">
        <w:t xml:space="preserve"> grants</w:t>
      </w:r>
      <w:r w:rsidRPr="00527E09">
        <w:t xml:space="preserve"> be based on actual student needs.</w:t>
      </w:r>
    </w:p>
    <w:p w14:paraId="7E88FE00" w14:textId="77777777" w:rsidR="00767922" w:rsidRPr="00527E09" w:rsidRDefault="00767922" w:rsidP="00767922">
      <w:pPr>
        <w:pStyle w:val="Reccomendations"/>
        <w:numPr>
          <w:ilvl w:val="0"/>
          <w:numId w:val="0"/>
        </w:numPr>
        <w:ind w:left="720"/>
      </w:pPr>
    </w:p>
    <w:p w14:paraId="3B529588" w14:textId="73CBEED7" w:rsidR="00806B43" w:rsidRPr="00527E09" w:rsidRDefault="00767922" w:rsidP="004E5DE7">
      <w:pPr>
        <w:pStyle w:val="Reccomendations"/>
      </w:pPr>
      <w:r w:rsidRPr="00527E09">
        <w:t>That funding be increased for educational assistants, psychologists, behavioural therapists,</w:t>
      </w:r>
      <w:r w:rsidR="00F7372A" w:rsidRPr="00527E09">
        <w:t xml:space="preserve"> </w:t>
      </w:r>
      <w:r w:rsidR="00F7372A" w:rsidRPr="00527E09">
        <w:rPr>
          <w:rFonts w:cstheme="minorHAnsi"/>
        </w:rPr>
        <w:t xml:space="preserve">child and youth workers, </w:t>
      </w:r>
      <w:r w:rsidRPr="00527E09">
        <w:t>school support counsellors</w:t>
      </w:r>
      <w:r w:rsidR="00CF0696" w:rsidRPr="00527E09">
        <w:t>,</w:t>
      </w:r>
      <w:r w:rsidRPr="00527E09">
        <w:t xml:space="preserve"> and speech</w:t>
      </w:r>
      <w:r w:rsidR="00F7372A" w:rsidRPr="00527E09">
        <w:t xml:space="preserve"> and </w:t>
      </w:r>
      <w:r w:rsidRPr="00527E09">
        <w:t>language pathologists.</w:t>
      </w:r>
      <w:r w:rsidR="00806B43" w:rsidRPr="00527E09">
        <w:br/>
      </w:r>
    </w:p>
    <w:p w14:paraId="74EA05CB" w14:textId="42DF0D23" w:rsidR="00F7372A" w:rsidRPr="00527E09" w:rsidRDefault="00806B43" w:rsidP="007F20D7">
      <w:pPr>
        <w:pStyle w:val="Reccomendations"/>
      </w:pPr>
      <w:r w:rsidRPr="00527E09">
        <w:t xml:space="preserve">That funding be allocated </w:t>
      </w:r>
      <w:r w:rsidR="00FC28CB" w:rsidRPr="00527E09">
        <w:t xml:space="preserve">to provide occasional teachers and occasional education workers paid professional development </w:t>
      </w:r>
      <w:r w:rsidRPr="00527E09">
        <w:t>on teaching and educational strategies</w:t>
      </w:r>
      <w:r w:rsidR="00CF0696" w:rsidRPr="00527E09">
        <w:t xml:space="preserve"> to</w:t>
      </w:r>
      <w:r w:rsidRPr="00527E09">
        <w:t xml:space="preserve"> support students with special </w:t>
      </w:r>
      <w:r w:rsidR="004530D4" w:rsidRPr="00527E09">
        <w:t xml:space="preserve">education </w:t>
      </w:r>
      <w:r w:rsidRPr="00527E09">
        <w:t>needs.</w:t>
      </w:r>
    </w:p>
    <w:p w14:paraId="6936D41F" w14:textId="77777777" w:rsidR="007F20D7" w:rsidRPr="00527E09" w:rsidRDefault="007F20D7" w:rsidP="007F20D7">
      <w:pPr>
        <w:pStyle w:val="Reccomendations"/>
        <w:numPr>
          <w:ilvl w:val="0"/>
          <w:numId w:val="0"/>
        </w:numPr>
      </w:pPr>
    </w:p>
    <w:p w14:paraId="4FCD0077" w14:textId="77777777" w:rsidR="007F20D7" w:rsidRPr="00527E09" w:rsidRDefault="007F20D7" w:rsidP="007F20D7">
      <w:pPr>
        <w:pStyle w:val="Reccomendations"/>
        <w:numPr>
          <w:ilvl w:val="0"/>
          <w:numId w:val="0"/>
        </w:numPr>
      </w:pPr>
    </w:p>
    <w:p w14:paraId="71619775" w14:textId="2DFAB67D" w:rsidR="00F74144" w:rsidRPr="00527E09" w:rsidRDefault="00B72BFF" w:rsidP="00F74144">
      <w:pPr>
        <w:pStyle w:val="Heading1"/>
        <w:rPr>
          <w:highlight w:val="yellow"/>
        </w:rPr>
      </w:pPr>
      <w:bookmarkStart w:id="23" w:name="_Toc89070406"/>
      <w:r w:rsidRPr="00527E09">
        <w:t>Addressing Equity and Combatting Anti-Black Racism</w:t>
      </w:r>
      <w:bookmarkEnd w:id="23"/>
    </w:p>
    <w:p w14:paraId="4F5B366B" w14:textId="4B6F6CF6" w:rsidR="00F74144" w:rsidRPr="00527E09" w:rsidRDefault="00F74144" w:rsidP="00F74144">
      <w:pPr>
        <w:spacing w:after="120" w:line="480" w:lineRule="auto"/>
        <w:rPr>
          <w:rFonts w:cstheme="minorHAnsi"/>
          <w:lang w:val="en-US"/>
        </w:rPr>
      </w:pPr>
      <w:r w:rsidRPr="00527E09">
        <w:rPr>
          <w:rFonts w:cstheme="minorHAnsi"/>
          <w:lang w:val="en-US"/>
        </w:rPr>
        <w:t xml:space="preserve">The COVID-19 pandemic has highlighted the deep-rooted socio-economic disparities that exist in communities across </w:t>
      </w:r>
      <w:r w:rsidR="00207B48" w:rsidRPr="00527E09">
        <w:rPr>
          <w:rFonts w:cstheme="minorHAnsi"/>
          <w:lang w:val="en-US"/>
        </w:rPr>
        <w:t xml:space="preserve">the </w:t>
      </w:r>
      <w:r w:rsidRPr="00527E09">
        <w:rPr>
          <w:rFonts w:cstheme="minorHAnsi"/>
          <w:lang w:val="en-US"/>
        </w:rPr>
        <w:t xml:space="preserve">province, the country and the world. The negative impacts of the pandemic have been disproportionately felt by already marginalized communities. Intersections of gender, race, sexuality, disability, status, language, employment precarity and a host of other factors have had a tremendous impact on how students and their families have experienced this ongoing crisis. </w:t>
      </w:r>
    </w:p>
    <w:p w14:paraId="47FC60DC" w14:textId="6F83E216" w:rsidR="00F74144" w:rsidRPr="00527E09" w:rsidRDefault="00F74144" w:rsidP="00F74144">
      <w:pPr>
        <w:spacing w:after="120" w:line="480" w:lineRule="auto"/>
        <w:rPr>
          <w:rFonts w:eastAsia="Times New Roman" w:cstheme="minorHAnsi"/>
        </w:rPr>
      </w:pPr>
      <w:r w:rsidRPr="00527E09">
        <w:rPr>
          <w:rFonts w:cstheme="minorHAnsi"/>
          <w:lang w:val="en-US"/>
        </w:rPr>
        <w:lastRenderedPageBreak/>
        <w:t xml:space="preserve">The government must take concrete steps to ameliorate the inequity experienced by these communities and ensure that </w:t>
      </w:r>
      <w:r w:rsidR="00051358" w:rsidRPr="00527E09">
        <w:rPr>
          <w:rFonts w:cstheme="minorHAnsi"/>
          <w:lang w:val="en-US"/>
        </w:rPr>
        <w:t xml:space="preserve">Ontario’s recovery plans account for the disproportionate impact felt by </w:t>
      </w:r>
      <w:r w:rsidRPr="00527E09">
        <w:rPr>
          <w:rFonts w:eastAsia="Times New Roman" w:cstheme="minorHAnsi"/>
        </w:rPr>
        <w:t xml:space="preserve">Black, </w:t>
      </w:r>
      <w:r w:rsidR="00051358" w:rsidRPr="00527E09">
        <w:rPr>
          <w:rFonts w:eastAsia="Times New Roman" w:cstheme="minorHAnsi"/>
        </w:rPr>
        <w:t xml:space="preserve">Indigenous, </w:t>
      </w:r>
      <w:r w:rsidRPr="00527E09">
        <w:rPr>
          <w:rFonts w:eastAsia="Times New Roman" w:cstheme="minorHAnsi"/>
        </w:rPr>
        <w:t xml:space="preserve">racialized, and low-income communities. </w:t>
      </w:r>
    </w:p>
    <w:p w14:paraId="381CAD6A" w14:textId="0207CE09" w:rsidR="00F74144" w:rsidRPr="00527E09" w:rsidRDefault="00051358" w:rsidP="00F74144">
      <w:pPr>
        <w:spacing w:line="480" w:lineRule="auto"/>
        <w:rPr>
          <w:rFonts w:cstheme="minorHAnsi"/>
          <w:lang w:val="en-US"/>
        </w:rPr>
      </w:pPr>
      <w:r w:rsidRPr="00527E09">
        <w:rPr>
          <w:rFonts w:cstheme="minorHAnsi"/>
          <w:lang w:val="en-US"/>
        </w:rPr>
        <w:t xml:space="preserve">Over recent years, there </w:t>
      </w:r>
      <w:r w:rsidR="00F74144" w:rsidRPr="00527E09">
        <w:rPr>
          <w:rFonts w:cstheme="minorHAnsi"/>
          <w:lang w:val="en-US"/>
        </w:rPr>
        <w:t>has been a wide-spread and unprecedented public recognition that systemic racism and</w:t>
      </w:r>
      <w:r w:rsidR="00207B48" w:rsidRPr="00527E09">
        <w:rPr>
          <w:rFonts w:cstheme="minorHAnsi"/>
          <w:lang w:val="en-US"/>
        </w:rPr>
        <w:t>,</w:t>
      </w:r>
      <w:r w:rsidR="00F74144" w:rsidRPr="00527E09">
        <w:rPr>
          <w:rFonts w:cstheme="minorHAnsi"/>
          <w:lang w:val="en-US"/>
        </w:rPr>
        <w:t xml:space="preserve"> in particular, anti-Black racism, persists in our societies. ETFO recognizes the multiple and systemic ways that anti-Black racism is enacted and reproduced in </w:t>
      </w:r>
      <w:r w:rsidR="007F7220" w:rsidRPr="00527E09">
        <w:rPr>
          <w:rFonts w:cstheme="minorHAnsi"/>
          <w:lang w:val="en-US"/>
        </w:rPr>
        <w:t>all</w:t>
      </w:r>
      <w:r w:rsidR="00F74144" w:rsidRPr="00527E09">
        <w:rPr>
          <w:rFonts w:cstheme="minorHAnsi"/>
          <w:lang w:val="en-US"/>
        </w:rPr>
        <w:t xml:space="preserve"> our institutions, including policing, health care, immigration, social services, and public education.</w:t>
      </w:r>
    </w:p>
    <w:p w14:paraId="3F359F03" w14:textId="0077EC57" w:rsidR="00F74144" w:rsidRPr="00527E09" w:rsidRDefault="00F74144" w:rsidP="00F74144">
      <w:pPr>
        <w:spacing w:line="480" w:lineRule="auto"/>
        <w:rPr>
          <w:rFonts w:cstheme="minorHAnsi"/>
          <w:lang w:val="en-US"/>
        </w:rPr>
      </w:pPr>
      <w:r w:rsidRPr="00527E09">
        <w:rPr>
          <w:rFonts w:cstheme="minorHAnsi"/>
          <w:lang w:val="en-US"/>
        </w:rPr>
        <w:t xml:space="preserve">Anti-Black racism in education is longstanding and has harmed Black students, their families, and Black educators. In the past several years alone, </w:t>
      </w:r>
      <w:r w:rsidR="007F7220" w:rsidRPr="00527E09">
        <w:rPr>
          <w:rFonts w:cstheme="minorHAnsi"/>
          <w:lang w:val="en-US"/>
        </w:rPr>
        <w:t>several</w:t>
      </w:r>
      <w:r w:rsidRPr="00527E09">
        <w:rPr>
          <w:rFonts w:cstheme="minorHAnsi"/>
          <w:lang w:val="en-US"/>
        </w:rPr>
        <w:t xml:space="preserve"> school boards have come under intense public scrutiny following the exposure of anti-Black racism in their practices. School boards, and the provincial government, need to be accountable to existing anti-Black racism policies and push for</w:t>
      </w:r>
      <w:r w:rsidR="00CF0696" w:rsidRPr="00527E09">
        <w:rPr>
          <w:rFonts w:cstheme="minorHAnsi"/>
          <w:bCs/>
          <w:lang w:val="en-US"/>
        </w:rPr>
        <w:t xml:space="preserve"> the introduction of additional policies, programs and strategies to address anti-Black racism.</w:t>
      </w:r>
      <w:r w:rsidRPr="00527E09">
        <w:rPr>
          <w:rFonts w:cstheme="minorHAnsi"/>
          <w:bCs/>
          <w:lang w:val="en-US"/>
        </w:rPr>
        <w:t xml:space="preserve"> </w:t>
      </w:r>
    </w:p>
    <w:p w14:paraId="07221853" w14:textId="02B13A19" w:rsidR="00F74144" w:rsidRPr="00527E09" w:rsidRDefault="00F74144" w:rsidP="00F74144">
      <w:pPr>
        <w:spacing w:line="480" w:lineRule="auto"/>
        <w:rPr>
          <w:rFonts w:cstheme="minorHAnsi"/>
          <w:lang w:val="en-US"/>
        </w:rPr>
      </w:pPr>
      <w:r w:rsidRPr="00527E09">
        <w:rPr>
          <w:rFonts w:cstheme="minorHAnsi"/>
          <w:lang w:val="en-US"/>
        </w:rPr>
        <w:t>The government has acknowledged that anti-Black racism exists within the education sector and has stated that the well-being and mental health of</w:t>
      </w:r>
      <w:r w:rsidR="00CF0696" w:rsidRPr="00527E09">
        <w:rPr>
          <w:rFonts w:cstheme="minorHAnsi"/>
          <w:lang w:val="en-US"/>
        </w:rPr>
        <w:t xml:space="preserve"> Black</w:t>
      </w:r>
      <w:r w:rsidRPr="00527E09">
        <w:rPr>
          <w:rFonts w:cstheme="minorHAnsi"/>
          <w:lang w:val="en-US"/>
        </w:rPr>
        <w:t xml:space="preserve"> communities is paramount. </w:t>
      </w:r>
      <w:r w:rsidR="0089139A" w:rsidRPr="00527E09">
        <w:rPr>
          <w:rFonts w:cstheme="minorHAnsi"/>
          <w:lang w:val="en-US"/>
        </w:rPr>
        <w:t xml:space="preserve">Ending streaming in the public education system is a necessary step </w:t>
      </w:r>
      <w:r w:rsidR="00EF1E31" w:rsidRPr="00527E09">
        <w:rPr>
          <w:rFonts w:cstheme="minorHAnsi"/>
          <w:lang w:val="en-US"/>
        </w:rPr>
        <w:t>to address existing systemic barriers</w:t>
      </w:r>
      <w:r w:rsidR="00D222D3" w:rsidRPr="00527E09">
        <w:rPr>
          <w:rFonts w:cstheme="minorHAnsi"/>
          <w:lang w:val="en-US"/>
        </w:rPr>
        <w:t>.</w:t>
      </w:r>
      <w:r w:rsidR="00EF1E31" w:rsidRPr="00527E09">
        <w:rPr>
          <w:rFonts w:cstheme="minorHAnsi"/>
          <w:lang w:val="en-US"/>
        </w:rPr>
        <w:t xml:space="preserve"> </w:t>
      </w:r>
      <w:r w:rsidR="00D222D3" w:rsidRPr="00527E09">
        <w:rPr>
          <w:rFonts w:cstheme="minorHAnsi"/>
          <w:lang w:val="en-US"/>
        </w:rPr>
        <w:t>The</w:t>
      </w:r>
      <w:r w:rsidR="00EF1E31" w:rsidRPr="00527E09">
        <w:rPr>
          <w:rFonts w:cstheme="minorHAnsi"/>
          <w:lang w:val="en-US"/>
        </w:rPr>
        <w:t xml:space="preserve"> government </w:t>
      </w:r>
      <w:r w:rsidR="00D222D3" w:rsidRPr="00527E09">
        <w:rPr>
          <w:rFonts w:cstheme="minorHAnsi"/>
          <w:lang w:val="en-US"/>
        </w:rPr>
        <w:t xml:space="preserve">has </w:t>
      </w:r>
      <w:r w:rsidR="009028B9" w:rsidRPr="00527E09">
        <w:rPr>
          <w:rFonts w:cstheme="minorHAnsi"/>
          <w:lang w:val="en-US"/>
        </w:rPr>
        <w:t>made announcements aimed at ending streaming in the secondary panel, however it has not announced any additional funding to support this important transition. Witho</w:t>
      </w:r>
      <w:r w:rsidR="00212E5B" w:rsidRPr="00527E09">
        <w:rPr>
          <w:rFonts w:cstheme="minorHAnsi"/>
          <w:lang w:val="en-US"/>
        </w:rPr>
        <w:t>ut the necessary support for students and educators, students who have faced systemic barriers in the past will continue</w:t>
      </w:r>
      <w:r w:rsidR="00CF0696" w:rsidRPr="00527E09">
        <w:rPr>
          <w:rFonts w:cstheme="minorHAnsi"/>
          <w:lang w:val="en-US"/>
        </w:rPr>
        <w:t xml:space="preserve"> </w:t>
      </w:r>
      <w:r w:rsidR="00CF0696" w:rsidRPr="00527E09">
        <w:rPr>
          <w:rFonts w:cstheme="minorHAnsi"/>
          <w:bCs/>
          <w:lang w:val="en-US"/>
        </w:rPr>
        <w:t>to do</w:t>
      </w:r>
      <w:r w:rsidR="00212E5B" w:rsidRPr="00527E09">
        <w:rPr>
          <w:rFonts w:cstheme="minorHAnsi"/>
          <w:bCs/>
          <w:lang w:val="en-US"/>
        </w:rPr>
        <w:t xml:space="preserve"> so</w:t>
      </w:r>
      <w:r w:rsidR="00212E5B" w:rsidRPr="00527E09">
        <w:rPr>
          <w:rFonts w:cstheme="minorHAnsi"/>
          <w:lang w:val="en-US"/>
        </w:rPr>
        <w:t xml:space="preserve">. </w:t>
      </w:r>
      <w:r w:rsidRPr="00527E09">
        <w:rPr>
          <w:rFonts w:cstheme="minorHAnsi"/>
          <w:lang w:val="en-US"/>
        </w:rPr>
        <w:t>The government must make good on its commitment and must direct funding to the education sector and community organizations to eradicate anti-Black racism, and all other forms of racism, from</w:t>
      </w:r>
      <w:r w:rsidRPr="00527E09">
        <w:rPr>
          <w:rFonts w:cstheme="minorHAnsi"/>
          <w:bCs/>
          <w:lang w:val="en-US"/>
        </w:rPr>
        <w:t xml:space="preserve"> </w:t>
      </w:r>
      <w:r w:rsidR="00CF0696" w:rsidRPr="00527E09">
        <w:rPr>
          <w:rFonts w:cstheme="minorHAnsi"/>
          <w:bCs/>
          <w:lang w:val="en-US"/>
        </w:rPr>
        <w:t>Ontario’s</w:t>
      </w:r>
      <w:r w:rsidRPr="00527E09">
        <w:rPr>
          <w:rFonts w:cstheme="minorHAnsi"/>
          <w:lang w:val="en-US"/>
        </w:rPr>
        <w:t xml:space="preserve"> public education system. </w:t>
      </w:r>
    </w:p>
    <w:p w14:paraId="1A5B7C22" w14:textId="128A036E" w:rsidR="00FF183E" w:rsidRPr="00527E09" w:rsidRDefault="00F74144" w:rsidP="00DA4FCC">
      <w:pPr>
        <w:pStyle w:val="Heading2"/>
      </w:pPr>
      <w:bookmarkStart w:id="24" w:name="_Toc61605422"/>
      <w:r w:rsidRPr="00527E09">
        <w:lastRenderedPageBreak/>
        <w:t>Recommendations:</w:t>
      </w:r>
      <w:bookmarkEnd w:id="24"/>
      <w:r w:rsidRPr="00527E09">
        <w:t xml:space="preserve"> </w:t>
      </w:r>
    </w:p>
    <w:p w14:paraId="52AA4B54" w14:textId="3EB8F476" w:rsidR="00F74144" w:rsidRPr="00527E09" w:rsidRDefault="00F74144" w:rsidP="00FF183E">
      <w:pPr>
        <w:pStyle w:val="Reccomendations"/>
        <w:rPr>
          <w:rFonts w:cstheme="minorHAnsi"/>
        </w:rPr>
      </w:pPr>
      <w:r w:rsidRPr="00527E09">
        <w:rPr>
          <w:rFonts w:cstheme="minorHAnsi"/>
        </w:rPr>
        <w:t xml:space="preserve">That additional funding be provided to school boards to hire additional counsellors, social workers and school nurses that would specifically assist families and students from Black, racialized, and Indigenous communities, as well as students living in low-income communities. </w:t>
      </w:r>
      <w:r w:rsidR="00FF183E" w:rsidRPr="00527E09">
        <w:rPr>
          <w:rFonts w:cstheme="minorHAnsi"/>
        </w:rPr>
        <w:br/>
      </w:r>
    </w:p>
    <w:p w14:paraId="6A18C1DC" w14:textId="56438B39" w:rsidR="00F74144" w:rsidRPr="00527E09" w:rsidRDefault="00F74144" w:rsidP="00FF183E">
      <w:pPr>
        <w:pStyle w:val="Reccomendations"/>
        <w:rPr>
          <w:rFonts w:cstheme="minorHAnsi"/>
        </w:rPr>
      </w:pPr>
      <w:r w:rsidRPr="00527E09">
        <w:rPr>
          <w:rFonts w:cstheme="minorHAnsi"/>
        </w:rPr>
        <w:t xml:space="preserve">That funding be provided to the public education sector and community groups for the purpose of eradicating anti-Black racism and other forms of racism. </w:t>
      </w:r>
      <w:r w:rsidR="00590265" w:rsidRPr="00527E09">
        <w:rPr>
          <w:rFonts w:cstheme="minorHAnsi"/>
        </w:rPr>
        <w:br/>
      </w:r>
    </w:p>
    <w:p w14:paraId="227EE483" w14:textId="412E1170" w:rsidR="00590265" w:rsidRPr="00527E09" w:rsidRDefault="00590265" w:rsidP="00590265">
      <w:pPr>
        <w:pStyle w:val="Reccomendations"/>
      </w:pPr>
      <w:r w:rsidRPr="00527E09">
        <w:t xml:space="preserve">That </w:t>
      </w:r>
      <w:r w:rsidR="00CA588D" w:rsidRPr="00527E09">
        <w:t xml:space="preserve">all school boards be instructed to begin </w:t>
      </w:r>
      <w:r w:rsidRPr="00527E09">
        <w:t>collection of disaggregated race-based student</w:t>
      </w:r>
      <w:r w:rsidR="00CA588D" w:rsidRPr="00527E09">
        <w:t xml:space="preserve"> and staff</w:t>
      </w:r>
      <w:r w:rsidRPr="00527E09">
        <w:t xml:space="preserve"> data</w:t>
      </w:r>
      <w:r w:rsidR="00CA588D" w:rsidRPr="00527E09">
        <w:t xml:space="preserve"> starting in the 2022-23 school year</w:t>
      </w:r>
      <w:r w:rsidRPr="00527E09">
        <w:t>.</w:t>
      </w:r>
      <w:r w:rsidRPr="00527E09">
        <w:br/>
      </w:r>
    </w:p>
    <w:p w14:paraId="79112D42" w14:textId="5410E740" w:rsidR="00590265" w:rsidRPr="00527E09" w:rsidRDefault="00CA588D" w:rsidP="00590265">
      <w:pPr>
        <w:pStyle w:val="Reccomendations"/>
      </w:pPr>
      <w:r w:rsidRPr="00527E09">
        <w:t xml:space="preserve">That the Ministry ensure </w:t>
      </w:r>
      <w:r w:rsidR="00590265" w:rsidRPr="00527E09">
        <w:t>that the collection of race-based data by school boards</w:t>
      </w:r>
      <w:r w:rsidR="00574C3C" w:rsidRPr="00527E09">
        <w:t xml:space="preserve"> </w:t>
      </w:r>
      <w:r w:rsidR="006A76CA" w:rsidRPr="00527E09">
        <w:t>is</w:t>
      </w:r>
      <w:r w:rsidR="00590265" w:rsidRPr="00527E09">
        <w:t xml:space="preserve"> standardized, include</w:t>
      </w:r>
      <w:r w:rsidR="006A76CA" w:rsidRPr="00527E09">
        <w:t>s</w:t>
      </w:r>
      <w:r w:rsidR="00590265" w:rsidRPr="00527E09">
        <w:t xml:space="preserve"> all employees and their positions</w:t>
      </w:r>
      <w:r w:rsidR="00574C3C" w:rsidRPr="00527E09">
        <w:t xml:space="preserve">, </w:t>
      </w:r>
      <w:r w:rsidR="005E7AD7" w:rsidRPr="00527E09">
        <w:t xml:space="preserve">respects employees’ privacy, </w:t>
      </w:r>
      <w:r w:rsidR="00574C3C" w:rsidRPr="00527E09">
        <w:t>meet</w:t>
      </w:r>
      <w:r w:rsidR="006A76CA" w:rsidRPr="00527E09">
        <w:t>s current best practices</w:t>
      </w:r>
      <w:r w:rsidR="005E7AD7" w:rsidRPr="00527E09">
        <w:t xml:space="preserve">, and </w:t>
      </w:r>
      <w:r w:rsidR="006A76CA" w:rsidRPr="00527E09">
        <w:t>is</w:t>
      </w:r>
      <w:r w:rsidR="00574C3C" w:rsidRPr="00527E09">
        <w:t xml:space="preserve"> </w:t>
      </w:r>
      <w:r w:rsidR="006A76CA" w:rsidRPr="00527E09">
        <w:t>made</w:t>
      </w:r>
      <w:r w:rsidR="00590265" w:rsidRPr="00527E09">
        <w:t xml:space="preserve"> publicly available</w:t>
      </w:r>
      <w:r w:rsidR="006A76CA" w:rsidRPr="00527E09">
        <w:t>.</w:t>
      </w:r>
      <w:r w:rsidR="00590265" w:rsidRPr="00527E09">
        <w:br/>
      </w:r>
    </w:p>
    <w:p w14:paraId="1ACE2D49" w14:textId="72170D80" w:rsidR="00B72BFF" w:rsidRPr="00527E09" w:rsidRDefault="006A76CA" w:rsidP="00DA4FCC">
      <w:pPr>
        <w:pStyle w:val="Reccomendations"/>
      </w:pPr>
      <w:r w:rsidRPr="00527E09">
        <w:t>That the Ministry i</w:t>
      </w:r>
      <w:r w:rsidR="00590265" w:rsidRPr="00527E09">
        <w:t>mplement mandatory ongoing training and professional development for all administrators, school board trustees and teacher candidates on recognizing and addressing anti-Black racism, including microaggressions.</w:t>
      </w:r>
    </w:p>
    <w:p w14:paraId="24B43AF4" w14:textId="77777777" w:rsidR="00DA4FCC" w:rsidRPr="00527E09" w:rsidRDefault="00DA4FCC" w:rsidP="00DA4FCC">
      <w:pPr>
        <w:pStyle w:val="Reccomendations"/>
        <w:numPr>
          <w:ilvl w:val="0"/>
          <w:numId w:val="0"/>
        </w:numPr>
      </w:pPr>
    </w:p>
    <w:p w14:paraId="38890C5D" w14:textId="79BFA188" w:rsidR="00262288" w:rsidRPr="00527E09" w:rsidRDefault="00262288" w:rsidP="00262288">
      <w:pPr>
        <w:pStyle w:val="Heading1"/>
        <w:rPr>
          <w:rFonts w:cstheme="minorHAnsi"/>
        </w:rPr>
      </w:pPr>
      <w:bookmarkStart w:id="25" w:name="_Toc89070407"/>
      <w:r w:rsidRPr="00527E09">
        <w:t>Supporting Second Language Programs</w:t>
      </w:r>
      <w:bookmarkEnd w:id="25"/>
    </w:p>
    <w:p w14:paraId="72AC1618" w14:textId="77777777" w:rsidR="00B72BFF" w:rsidRPr="00527E09" w:rsidRDefault="00B72BFF" w:rsidP="00B72BFF">
      <w:pPr>
        <w:spacing w:line="480" w:lineRule="auto"/>
        <w:rPr>
          <w:rFonts w:cstheme="minorHAnsi"/>
        </w:rPr>
      </w:pPr>
      <w:r w:rsidRPr="00527E09">
        <w:rPr>
          <w:rFonts w:cstheme="minorHAnsi"/>
        </w:rPr>
        <w:t>An area that requires greater transparency and accountability from boards, and where additional funding is necessary, is supporting children who enter Ontario schools without language proficiency in either English or French. These children require more support to ensure they progress well academically, socially and emotionally. The number of children who speak neither English nor French when they register for school has increased significantly. As reported by the 2017 People for Education annual survey of public schools, 63 per cent of English elementary schools have English Language Learners (ELLs)</w:t>
      </w:r>
      <w:r w:rsidRPr="00527E09">
        <w:rPr>
          <w:rStyle w:val="FootnoteReference"/>
          <w:rFonts w:cstheme="minorHAnsi"/>
        </w:rPr>
        <w:footnoteReference w:id="14"/>
      </w:r>
      <w:r w:rsidRPr="00527E09">
        <w:rPr>
          <w:rFonts w:cstheme="minorHAnsi"/>
        </w:rPr>
        <w:t xml:space="preserve"> as compared to 43 per cent in 2002-2003. These students face significant challenges in catching up to their peers, and schools do not have adequate resources to support them. The ongoing pandemic has created additional challenges for these students, especially those engaged in virtual learning.</w:t>
      </w:r>
    </w:p>
    <w:p w14:paraId="4ED888FC" w14:textId="7E163B4B" w:rsidR="00B72BFF" w:rsidRPr="00527E09" w:rsidRDefault="00B72BFF" w:rsidP="00B72BFF">
      <w:pPr>
        <w:spacing w:line="480" w:lineRule="auto"/>
        <w:rPr>
          <w:rFonts w:cstheme="minorHAnsi"/>
        </w:rPr>
      </w:pPr>
      <w:r w:rsidRPr="00527E09">
        <w:rPr>
          <w:rFonts w:cstheme="minorHAnsi"/>
        </w:rPr>
        <w:lastRenderedPageBreak/>
        <w:t>The funding formula for ELLs who are not born in Canada is a guaranteed per-student amount which is reduced over four years rather than a lump sum divided amongst school boards, which is the case for Canadian-born ELLs, resulting in funding of more than $10,000 per eligible pupil. Furthermore, the grants assume that ELLs only require special language programs for up to four years, an assumption that is not supported by reports from teachers who work with these students or by research on language acquisition. Funding should be allocated based on students achieving a standard level of language proficiency and not based on whether they were born in Canada or the number of years they have been in Canada.</w:t>
      </w:r>
    </w:p>
    <w:p w14:paraId="640C0589" w14:textId="793E3A95" w:rsidR="00B72BFF" w:rsidRPr="00527E09" w:rsidRDefault="00B72BFF" w:rsidP="00B72BFF">
      <w:pPr>
        <w:spacing w:line="480" w:lineRule="auto"/>
        <w:rPr>
          <w:rFonts w:cstheme="minorHAnsi"/>
        </w:rPr>
      </w:pPr>
      <w:r w:rsidRPr="00527E09">
        <w:rPr>
          <w:rFonts w:cstheme="minorHAnsi"/>
        </w:rPr>
        <w:t xml:space="preserve">There is currently no direct accountability for school boards to ensure that second-language grants are used for their intended programs. All too often, the overall shortfalls in the funding formula have led to school boards using their second language grants for other purposes and short-changing ELL students. The Ministry of Education should establish accountability measures by mandating that school boards spend </w:t>
      </w:r>
      <w:r w:rsidR="00207B48" w:rsidRPr="00527E09">
        <w:t>English as a Second Language (</w:t>
      </w:r>
      <w:r w:rsidRPr="00527E09">
        <w:rPr>
          <w:rFonts w:cstheme="minorHAnsi"/>
        </w:rPr>
        <w:t>ESL</w:t>
      </w:r>
      <w:r w:rsidR="00207B48" w:rsidRPr="00527E09">
        <w:rPr>
          <w:rFonts w:cstheme="minorHAnsi"/>
        </w:rPr>
        <w:t>)</w:t>
      </w:r>
      <w:r w:rsidRPr="00527E09">
        <w:rPr>
          <w:rFonts w:cstheme="minorHAnsi"/>
        </w:rPr>
        <w:t xml:space="preserve"> grants on the intended programs. </w:t>
      </w:r>
    </w:p>
    <w:p w14:paraId="3C3D3861" w14:textId="77777777" w:rsidR="00B72BFF" w:rsidRPr="00527E09" w:rsidRDefault="00B72BFF" w:rsidP="00DA4FCC">
      <w:pPr>
        <w:pStyle w:val="Heading2"/>
      </w:pPr>
      <w:bookmarkStart w:id="26" w:name="_Toc61605417"/>
      <w:r w:rsidRPr="00527E09">
        <w:t>Recommendations:</w:t>
      </w:r>
      <w:bookmarkEnd w:id="26"/>
    </w:p>
    <w:p w14:paraId="13A8B263" w14:textId="5B267D5F" w:rsidR="00B72BFF" w:rsidRPr="00527E09" w:rsidRDefault="00B72BFF" w:rsidP="00B72BFF">
      <w:pPr>
        <w:pStyle w:val="Reccomendations"/>
      </w:pPr>
      <w:r w:rsidRPr="00527E09">
        <w:t xml:space="preserve">That the government ensure all funding envelopes that have been established to support equity-related programs, special education programs, and ESL programs be maintained. </w:t>
      </w:r>
      <w:r w:rsidRPr="00527E09">
        <w:br/>
      </w:r>
    </w:p>
    <w:p w14:paraId="49D04EF0" w14:textId="6EA49142" w:rsidR="00B72BFF" w:rsidRPr="00527E09" w:rsidRDefault="00B72BFF" w:rsidP="00B72BFF">
      <w:pPr>
        <w:pStyle w:val="Reccomendations"/>
      </w:pPr>
      <w:r w:rsidRPr="00527E09">
        <w:t>That funding for English Language Learners (ELLs) program and English as a Second Language (ESL) teachers be expanded to meet the language acquisition needs of students requiring ELL support.</w:t>
      </w:r>
      <w:r w:rsidRPr="00527E09">
        <w:br/>
      </w:r>
    </w:p>
    <w:p w14:paraId="57713842" w14:textId="77777777" w:rsidR="00B72BFF" w:rsidRPr="00527E09" w:rsidRDefault="00B72BFF" w:rsidP="00B72BFF">
      <w:pPr>
        <w:pStyle w:val="Reccomendations"/>
      </w:pPr>
      <w:r w:rsidRPr="00527E09">
        <w:t xml:space="preserve">That accountability measures be established to prevent school boards from diverting ESL funding to non-ESL services and to require school boards to spend ESL funding on ESL program delivery. </w:t>
      </w:r>
    </w:p>
    <w:p w14:paraId="25D0F305" w14:textId="5B2E5782" w:rsidR="00BA2D93" w:rsidRPr="00527E09" w:rsidRDefault="00D83C0C" w:rsidP="00805684">
      <w:pPr>
        <w:spacing w:line="480" w:lineRule="auto"/>
        <w:rPr>
          <w:rFonts w:cstheme="minorHAnsi"/>
        </w:rPr>
      </w:pPr>
      <w:r w:rsidRPr="00527E09">
        <w:rPr>
          <w:rFonts w:cstheme="minorHAnsi"/>
        </w:rPr>
        <w:br/>
      </w:r>
      <w:r w:rsidR="005E7AD7" w:rsidRPr="00527E09">
        <w:rPr>
          <w:rFonts w:cstheme="minorHAnsi"/>
        </w:rPr>
        <w:t>SO:LM:</w:t>
      </w:r>
      <w:r w:rsidR="009B3D6E" w:rsidRPr="00527E09">
        <w:rPr>
          <w:rFonts w:cstheme="minorHAnsi"/>
        </w:rPr>
        <w:t>FC:</w:t>
      </w:r>
      <w:r w:rsidR="00C04A81" w:rsidRPr="00527E09">
        <w:rPr>
          <w:rFonts w:cstheme="minorHAnsi"/>
        </w:rPr>
        <w:t>MW:</w:t>
      </w:r>
      <w:r w:rsidR="00C202C2" w:rsidRPr="00527E09">
        <w:rPr>
          <w:rFonts w:cstheme="minorHAnsi"/>
        </w:rPr>
        <w:t>CC</w:t>
      </w:r>
    </w:p>
    <w:p w14:paraId="78F56EC0" w14:textId="77777777" w:rsidR="005E7AD7" w:rsidRPr="00527E09" w:rsidRDefault="005E7AD7">
      <w:pPr>
        <w:rPr>
          <w:rFonts w:eastAsiaTheme="majorEastAsia" w:cstheme="majorBidi"/>
          <w:b/>
          <w:bCs/>
          <w:sz w:val="26"/>
          <w:szCs w:val="28"/>
        </w:rPr>
      </w:pPr>
      <w:r w:rsidRPr="00527E09">
        <w:br w:type="page"/>
      </w:r>
    </w:p>
    <w:p w14:paraId="756A522B" w14:textId="1BDFEF8B" w:rsidR="00BA2D93" w:rsidRPr="00527E09" w:rsidRDefault="00BA2D93" w:rsidP="00BA2D93">
      <w:pPr>
        <w:pStyle w:val="Heading1"/>
      </w:pPr>
      <w:bookmarkStart w:id="27" w:name="_Toc89070408"/>
      <w:r w:rsidRPr="00527E09">
        <w:lastRenderedPageBreak/>
        <w:t>RECOMMENDATIONS</w:t>
      </w:r>
      <w:bookmarkEnd w:id="27"/>
    </w:p>
    <w:p w14:paraId="7E4B900C" w14:textId="77777777" w:rsidR="005E7AD7" w:rsidRPr="00527E09" w:rsidRDefault="005E7AD7" w:rsidP="005E7AD7">
      <w:pPr>
        <w:pStyle w:val="Reccomendations"/>
        <w:numPr>
          <w:ilvl w:val="0"/>
          <w:numId w:val="16"/>
        </w:numPr>
      </w:pPr>
      <w:r w:rsidRPr="00527E09">
        <w:t>Reinstate the $467 million cut from core education funding in the fall economic update.</w:t>
      </w:r>
      <w:r w:rsidRPr="00527E09">
        <w:br/>
      </w:r>
    </w:p>
    <w:p w14:paraId="33E21346" w14:textId="77777777" w:rsidR="005E7AD7" w:rsidRPr="00527E09" w:rsidRDefault="005E7AD7" w:rsidP="005E7AD7">
      <w:pPr>
        <w:pStyle w:val="Reccomendations"/>
      </w:pPr>
      <w:r w:rsidRPr="00527E09">
        <w:t>Increase funding to public education to close the funding gap identified by the FAO.</w:t>
      </w:r>
      <w:r w:rsidRPr="00527E09">
        <w:br/>
      </w:r>
    </w:p>
    <w:p w14:paraId="030A221A" w14:textId="336E74B4" w:rsidR="005E7AD7" w:rsidRPr="00527E09" w:rsidRDefault="005E7AD7" w:rsidP="005E7AD7">
      <w:pPr>
        <w:pStyle w:val="Reccomendations"/>
      </w:pPr>
      <w:r w:rsidRPr="00527E09">
        <w:t>Establish an independent, external review of Ontario’s education funding formula to ensure it reflects actual student needs.</w:t>
      </w:r>
    </w:p>
    <w:p w14:paraId="2F7FEB64" w14:textId="77777777" w:rsidR="005E7AD7" w:rsidRPr="00527E09" w:rsidRDefault="005E7AD7" w:rsidP="005E7AD7">
      <w:pPr>
        <w:pStyle w:val="Reccomendations"/>
        <w:numPr>
          <w:ilvl w:val="0"/>
          <w:numId w:val="0"/>
        </w:numPr>
        <w:ind w:left="360"/>
      </w:pPr>
    </w:p>
    <w:p w14:paraId="554C3479" w14:textId="77777777" w:rsidR="005E7AD7" w:rsidRPr="00527E09" w:rsidRDefault="005E7AD7" w:rsidP="005E7AD7">
      <w:pPr>
        <w:pStyle w:val="Reccomendations"/>
      </w:pPr>
      <w:r w:rsidRPr="00527E09">
        <w:t>That additional funding be provided to improve access to in-school supports, including guidance counsellors, social workers, psychologists, and child and youth workers, especially in underserviced areas.</w:t>
      </w:r>
      <w:r w:rsidRPr="00527E09">
        <w:br/>
      </w:r>
    </w:p>
    <w:p w14:paraId="6785E171" w14:textId="77777777" w:rsidR="005E7AD7" w:rsidRPr="00527E09" w:rsidRDefault="005E7AD7" w:rsidP="005E7AD7">
      <w:pPr>
        <w:pStyle w:val="Reccomendations"/>
      </w:pPr>
      <w:r w:rsidRPr="00527E09">
        <w:t>That funding be allocated for additional in-school and community supports necessary to ensure students’ developmental and behavioural needs are met.</w:t>
      </w:r>
      <w:r w:rsidRPr="00527E09">
        <w:br/>
      </w:r>
    </w:p>
    <w:p w14:paraId="1626A3F0" w14:textId="77777777" w:rsidR="005E7AD7" w:rsidRPr="00527E09" w:rsidRDefault="005E7AD7" w:rsidP="005E7AD7">
      <w:pPr>
        <w:pStyle w:val="Reccomendations"/>
      </w:pPr>
      <w:r w:rsidRPr="00527E09">
        <w:t>That the government develop and deliver</w:t>
      </w:r>
      <w:r w:rsidRPr="00527E09">
        <w:rPr>
          <w:rFonts w:cstheme="minorHAnsi"/>
        </w:rPr>
        <w:t>—</w:t>
      </w:r>
      <w:r w:rsidRPr="00527E09">
        <w:t>in consultation with mental health experts, teachers, education workers, unions and other education stakeholders</w:t>
      </w:r>
      <w:r w:rsidRPr="00527E09">
        <w:rPr>
          <w:rFonts w:cstheme="minorHAnsi"/>
        </w:rPr>
        <w:t>—</w:t>
      </w:r>
      <w:r w:rsidRPr="00527E09">
        <w:t>long-term, fully-funded, comprehensive, culturally-responsive mental health supports for students.</w:t>
      </w:r>
      <w:r w:rsidRPr="00527E09">
        <w:br/>
      </w:r>
    </w:p>
    <w:p w14:paraId="636BF9A3" w14:textId="77777777" w:rsidR="005E7AD7" w:rsidRPr="00527E09" w:rsidRDefault="005E7AD7" w:rsidP="005E7AD7">
      <w:pPr>
        <w:pStyle w:val="Reccomendations"/>
      </w:pPr>
      <w:r w:rsidRPr="00527E09">
        <w:t>That the government abandon its plan to make virtual learning a permanent fixture of elementary instruction.</w:t>
      </w:r>
      <w:r w:rsidRPr="00527E09">
        <w:br/>
      </w:r>
    </w:p>
    <w:p w14:paraId="4054DF0C" w14:textId="77777777" w:rsidR="005E7AD7" w:rsidRPr="00527E09" w:rsidRDefault="005E7AD7" w:rsidP="005E7AD7">
      <w:pPr>
        <w:pStyle w:val="Reccomendations"/>
      </w:pPr>
      <w:r w:rsidRPr="00527E09">
        <w:t>That the government instruct school boards to immediately cease the use of hybrid learning as a method of instruction.</w:t>
      </w:r>
      <w:r w:rsidRPr="00527E09">
        <w:br/>
      </w:r>
    </w:p>
    <w:p w14:paraId="12FD9A5E" w14:textId="2617B4CF" w:rsidR="005E7AD7" w:rsidRPr="00527E09" w:rsidRDefault="005E7AD7" w:rsidP="005E7AD7">
      <w:pPr>
        <w:pStyle w:val="Reccomendations"/>
      </w:pPr>
      <w:r w:rsidRPr="00527E09">
        <w:t xml:space="preserve">That </w:t>
      </w:r>
      <w:r w:rsidRPr="00527E09">
        <w:rPr>
          <w:bCs/>
        </w:rPr>
        <w:t>ongoing, sustainable</w:t>
      </w:r>
      <w:r w:rsidRPr="00527E09">
        <w:t xml:space="preserve"> funding be allocated for high-quality professional development for educators in the area of student mental health, occurring within the instructional day. </w:t>
      </w:r>
      <w:r w:rsidRPr="00527E09">
        <w:br/>
      </w:r>
    </w:p>
    <w:p w14:paraId="6CEEAD38" w14:textId="77777777" w:rsidR="005E7AD7" w:rsidRPr="00527E09" w:rsidRDefault="005E7AD7" w:rsidP="005E7AD7">
      <w:pPr>
        <w:pStyle w:val="Reccomendations"/>
      </w:pPr>
      <w:r w:rsidRPr="00527E09">
        <w:t>That a review of the Learning Opportunities Grant (LOG) be part of an independent review of the education funding formula.</w:t>
      </w:r>
      <w:r w:rsidRPr="00527E09">
        <w:br/>
      </w:r>
    </w:p>
    <w:p w14:paraId="1B782845" w14:textId="77777777" w:rsidR="005E7AD7" w:rsidRPr="00527E09" w:rsidRDefault="005E7AD7" w:rsidP="005E7AD7">
      <w:pPr>
        <w:pStyle w:val="Reccomendations"/>
      </w:pPr>
      <w:r w:rsidRPr="00527E09">
        <w:t>That the Ministry of Education provide education stakeholders with a projection of the impact of integrating updated 2021 census data in the distribution of LOG funding.</w:t>
      </w:r>
      <w:r w:rsidRPr="00527E09">
        <w:br/>
      </w:r>
    </w:p>
    <w:p w14:paraId="6BAD9A55" w14:textId="77777777" w:rsidR="005E7AD7" w:rsidRPr="00527E09" w:rsidRDefault="005E7AD7" w:rsidP="005E7AD7">
      <w:pPr>
        <w:pStyle w:val="Reccomendations"/>
      </w:pPr>
      <w:r w:rsidRPr="00527E09">
        <w:t>That transitional funding be allocated to support a phase-in period to ensure school boards that would otherwise see a reduction in LOG funding because of redistribution.</w:t>
      </w:r>
      <w:r w:rsidRPr="00527E09">
        <w:br/>
      </w:r>
    </w:p>
    <w:p w14:paraId="7E06A2B7" w14:textId="77777777" w:rsidR="005E7AD7" w:rsidRPr="00527E09" w:rsidRDefault="005E7AD7" w:rsidP="005E7AD7">
      <w:pPr>
        <w:pStyle w:val="Reccomendations"/>
      </w:pPr>
      <w:r w:rsidRPr="00527E09">
        <w:t>That school boards which would see an increase of LOG funding because of the redistribution, begin receiving this funding increase in the 2022-23 school year.</w:t>
      </w:r>
    </w:p>
    <w:p w14:paraId="2707474B" w14:textId="5611336D" w:rsidR="00805684" w:rsidRPr="00527E09" w:rsidRDefault="00805684" w:rsidP="005E7AD7">
      <w:pPr>
        <w:pStyle w:val="Reccomendations"/>
        <w:numPr>
          <w:ilvl w:val="0"/>
          <w:numId w:val="0"/>
        </w:numPr>
        <w:ind w:left="360"/>
      </w:pPr>
    </w:p>
    <w:p w14:paraId="70A14518" w14:textId="77777777" w:rsidR="005E7AD7" w:rsidRPr="00527E09" w:rsidRDefault="005E7AD7" w:rsidP="005E7AD7">
      <w:pPr>
        <w:pStyle w:val="Reccomendations"/>
      </w:pPr>
      <w:r w:rsidRPr="00527E09">
        <w:t>That the NTIP Allocation in the GSN be increased to account for inflationary costs and for an increase in the number of new teachers entering the public school system.</w:t>
      </w:r>
      <w:r w:rsidRPr="00527E09">
        <w:br/>
      </w:r>
    </w:p>
    <w:p w14:paraId="75E4995C" w14:textId="77777777" w:rsidR="005E7AD7" w:rsidRPr="00527E09" w:rsidRDefault="005E7AD7" w:rsidP="005E7AD7">
      <w:pPr>
        <w:pStyle w:val="ListParagraph"/>
        <w:numPr>
          <w:ilvl w:val="0"/>
          <w:numId w:val="7"/>
        </w:numPr>
        <w:spacing w:after="0" w:line="240" w:lineRule="auto"/>
        <w:contextualSpacing w:val="0"/>
        <w:rPr>
          <w:rFonts w:eastAsia="Times New Roman"/>
        </w:rPr>
      </w:pPr>
      <w:r w:rsidRPr="00527E09">
        <w:rPr>
          <w:rFonts w:eastAsia="Times New Roman"/>
        </w:rPr>
        <w:lastRenderedPageBreak/>
        <w:t>That the NTIP Allocation criteria continue to reflect the number of teachers eligible for NTIP to ensure that fluctuations in new teachers are accounted for.</w:t>
      </w:r>
      <w:r w:rsidRPr="00527E09">
        <w:rPr>
          <w:rFonts w:eastAsia="Times New Roman"/>
        </w:rPr>
        <w:br/>
      </w:r>
    </w:p>
    <w:p w14:paraId="05210023" w14:textId="0C198C61" w:rsidR="00805684" w:rsidRPr="00527E09" w:rsidRDefault="005E7AD7" w:rsidP="005E7AD7">
      <w:pPr>
        <w:pStyle w:val="ListParagraph"/>
        <w:numPr>
          <w:ilvl w:val="0"/>
          <w:numId w:val="7"/>
        </w:numPr>
        <w:spacing w:after="0" w:line="240" w:lineRule="auto"/>
        <w:contextualSpacing w:val="0"/>
        <w:rPr>
          <w:rFonts w:eastAsia="Times New Roman"/>
        </w:rPr>
      </w:pPr>
      <w:r w:rsidRPr="00527E09">
        <w:rPr>
          <w:rFonts w:eastAsia="Times New Roman"/>
        </w:rPr>
        <w:t>That the NTIP supplemental funding available through the PPF be increased to address sharp increases in the number of new teachers entering the public school system.</w:t>
      </w:r>
      <w:r w:rsidR="00805684" w:rsidRPr="00527E09">
        <w:rPr>
          <w:rFonts w:eastAsia="Times New Roman"/>
        </w:rPr>
        <w:br/>
      </w:r>
    </w:p>
    <w:p w14:paraId="37E543AB" w14:textId="77777777" w:rsidR="005E7AD7" w:rsidRPr="00527E09" w:rsidRDefault="005E7AD7" w:rsidP="005E7AD7">
      <w:pPr>
        <w:pStyle w:val="Reccomendations"/>
      </w:pPr>
      <w:r w:rsidRPr="00527E09">
        <w:t>That special education grants be based on actual student needs.</w:t>
      </w:r>
    </w:p>
    <w:p w14:paraId="7161C3FF" w14:textId="77777777" w:rsidR="005E7AD7" w:rsidRPr="00527E09" w:rsidRDefault="005E7AD7" w:rsidP="005E7AD7">
      <w:pPr>
        <w:pStyle w:val="Reccomendations"/>
        <w:numPr>
          <w:ilvl w:val="0"/>
          <w:numId w:val="0"/>
        </w:numPr>
        <w:ind w:left="720"/>
      </w:pPr>
    </w:p>
    <w:p w14:paraId="4EA8F569" w14:textId="77777777" w:rsidR="005E7AD7" w:rsidRPr="00527E09" w:rsidRDefault="005E7AD7" w:rsidP="005E7AD7">
      <w:pPr>
        <w:pStyle w:val="Reccomendations"/>
      </w:pPr>
      <w:r w:rsidRPr="00527E09">
        <w:t xml:space="preserve">That funding be increased for educational assistants, psychologists, behavioural therapists, </w:t>
      </w:r>
      <w:r w:rsidRPr="00527E09">
        <w:rPr>
          <w:rFonts w:cstheme="minorHAnsi"/>
        </w:rPr>
        <w:t xml:space="preserve">child and youth workers, </w:t>
      </w:r>
      <w:r w:rsidRPr="00527E09">
        <w:t>school support counsellors, and speech and language pathologists.</w:t>
      </w:r>
      <w:r w:rsidRPr="00527E09">
        <w:br/>
      </w:r>
    </w:p>
    <w:p w14:paraId="42DBAD03" w14:textId="77777777" w:rsidR="005E7AD7" w:rsidRPr="00527E09" w:rsidRDefault="005E7AD7" w:rsidP="005E7AD7">
      <w:pPr>
        <w:pStyle w:val="Reccomendations"/>
      </w:pPr>
      <w:r w:rsidRPr="00527E09">
        <w:t>That funding be allocated to provide occasional teachers and occasional education workers paid professional development on teaching and educational strategies to support students with special education needs.</w:t>
      </w:r>
    </w:p>
    <w:p w14:paraId="249DA9BC" w14:textId="00892D33" w:rsidR="00805684" w:rsidRPr="00527E09" w:rsidRDefault="00805684" w:rsidP="005E7AD7">
      <w:pPr>
        <w:pStyle w:val="Reccomendations"/>
        <w:numPr>
          <w:ilvl w:val="0"/>
          <w:numId w:val="0"/>
        </w:numPr>
        <w:ind w:left="720" w:hanging="360"/>
      </w:pPr>
    </w:p>
    <w:p w14:paraId="78EC8CB6" w14:textId="77777777" w:rsidR="005E7AD7" w:rsidRPr="00527E09" w:rsidRDefault="005E7AD7" w:rsidP="005E7AD7">
      <w:pPr>
        <w:pStyle w:val="Reccomendations"/>
        <w:rPr>
          <w:rFonts w:cstheme="minorHAnsi"/>
        </w:rPr>
      </w:pPr>
      <w:r w:rsidRPr="00527E09">
        <w:rPr>
          <w:rFonts w:cstheme="minorHAnsi"/>
        </w:rPr>
        <w:t xml:space="preserve">That additional funding be provided to school boards to hire additional counsellors, social workers and school nurses that would specifically assist families and students from Black, racialized, and Indigenous communities, as well as students living in low-income communities. </w:t>
      </w:r>
      <w:r w:rsidRPr="00527E09">
        <w:rPr>
          <w:rFonts w:cstheme="minorHAnsi"/>
        </w:rPr>
        <w:br/>
      </w:r>
    </w:p>
    <w:p w14:paraId="25DF0B52" w14:textId="77777777" w:rsidR="005E7AD7" w:rsidRPr="00527E09" w:rsidRDefault="005E7AD7" w:rsidP="005E7AD7">
      <w:pPr>
        <w:pStyle w:val="Reccomendations"/>
        <w:rPr>
          <w:rFonts w:cstheme="minorHAnsi"/>
        </w:rPr>
      </w:pPr>
      <w:r w:rsidRPr="00527E09">
        <w:rPr>
          <w:rFonts w:cstheme="minorHAnsi"/>
        </w:rPr>
        <w:t xml:space="preserve">That funding be provided to the public education sector and community groups for the purpose of eradicating anti-Black racism and other forms of racism. </w:t>
      </w:r>
      <w:r w:rsidRPr="00527E09">
        <w:rPr>
          <w:rFonts w:cstheme="minorHAnsi"/>
        </w:rPr>
        <w:br/>
      </w:r>
    </w:p>
    <w:p w14:paraId="78C1FD29" w14:textId="77777777" w:rsidR="005E7AD7" w:rsidRPr="00527E09" w:rsidRDefault="005E7AD7" w:rsidP="005E7AD7">
      <w:pPr>
        <w:pStyle w:val="Reccomendations"/>
      </w:pPr>
      <w:r w:rsidRPr="00527E09">
        <w:t>That all school boards be instructed to begin collection of disaggregated race-based student and staff data starting in the 2022-23 school year.</w:t>
      </w:r>
      <w:r w:rsidRPr="00527E09">
        <w:br/>
      </w:r>
    </w:p>
    <w:p w14:paraId="451A0CD3" w14:textId="77777777" w:rsidR="005E7AD7" w:rsidRPr="00527E09" w:rsidRDefault="005E7AD7" w:rsidP="005E7AD7">
      <w:pPr>
        <w:pStyle w:val="Reccomendations"/>
      </w:pPr>
      <w:r w:rsidRPr="00527E09">
        <w:t>That the Ministry ensure that the collection of race-based data by school boards is standardized, includes all employees and their positions, respects employees’ privacy, meets current best practices, and is made publicly available.</w:t>
      </w:r>
      <w:r w:rsidRPr="00527E09">
        <w:br/>
      </w:r>
    </w:p>
    <w:p w14:paraId="136AC91B" w14:textId="77777777" w:rsidR="005E7AD7" w:rsidRPr="00527E09" w:rsidRDefault="005E7AD7" w:rsidP="005E7AD7">
      <w:pPr>
        <w:pStyle w:val="Reccomendations"/>
      </w:pPr>
      <w:r w:rsidRPr="00527E09">
        <w:t>That the Ministry implement mandatory ongoing training and professional development for all administrators, school board trustees and teacher candidates on recognizing and addressing anti-Black racism, including microaggressions.</w:t>
      </w:r>
    </w:p>
    <w:p w14:paraId="6E6335A8" w14:textId="02B1CB1B" w:rsidR="00805684" w:rsidRPr="00527E09" w:rsidRDefault="00805684" w:rsidP="005E7AD7">
      <w:pPr>
        <w:pStyle w:val="Reccomendations"/>
        <w:numPr>
          <w:ilvl w:val="0"/>
          <w:numId w:val="0"/>
        </w:numPr>
        <w:ind w:left="720" w:hanging="360"/>
      </w:pPr>
    </w:p>
    <w:p w14:paraId="3DB0D40B" w14:textId="77777777" w:rsidR="005E7AD7" w:rsidRPr="00527E09" w:rsidRDefault="005E7AD7" w:rsidP="005E7AD7">
      <w:pPr>
        <w:pStyle w:val="Reccomendations"/>
      </w:pPr>
      <w:r w:rsidRPr="00527E09">
        <w:t xml:space="preserve">That the government ensure all funding envelopes that have been established to support equity-related programs, special education programs, and ESL programs be maintained. </w:t>
      </w:r>
      <w:r w:rsidRPr="00527E09">
        <w:br/>
      </w:r>
    </w:p>
    <w:p w14:paraId="43C37766" w14:textId="77777777" w:rsidR="005E7AD7" w:rsidRPr="00527E09" w:rsidRDefault="005E7AD7" w:rsidP="005E7AD7">
      <w:pPr>
        <w:pStyle w:val="Reccomendations"/>
      </w:pPr>
      <w:r w:rsidRPr="00527E09">
        <w:t>That funding for English Language Learners (ELLs) program and English as a Second Language (ESL) teachers be expanded to meet the language acquisition needs of students requiring ELL support.</w:t>
      </w:r>
      <w:r w:rsidRPr="00527E09">
        <w:br/>
      </w:r>
    </w:p>
    <w:p w14:paraId="3CC84FE2" w14:textId="77777777" w:rsidR="005E7AD7" w:rsidRPr="00527E09" w:rsidRDefault="005E7AD7" w:rsidP="005E7AD7">
      <w:pPr>
        <w:pStyle w:val="Reccomendations"/>
      </w:pPr>
      <w:r w:rsidRPr="00527E09">
        <w:t xml:space="preserve">That accountability measures be established to prevent school boards from diverting ESL funding to non-ESL services and to require school boards to spend ESL funding on ESL program delivery. </w:t>
      </w:r>
    </w:p>
    <w:p w14:paraId="49D48325" w14:textId="77777777" w:rsidR="00805684" w:rsidRPr="00527E09" w:rsidRDefault="00805684">
      <w:pPr>
        <w:rPr>
          <w:rFonts w:eastAsiaTheme="majorEastAsia" w:cstheme="majorBidi"/>
          <w:b/>
          <w:bCs/>
          <w:sz w:val="26"/>
          <w:szCs w:val="28"/>
          <w:lang w:val="en-US"/>
        </w:rPr>
      </w:pPr>
      <w:r w:rsidRPr="00527E09">
        <w:br w:type="page"/>
      </w:r>
    </w:p>
    <w:p w14:paraId="550446F7" w14:textId="16A59814" w:rsidR="00805684" w:rsidRPr="00527E09" w:rsidRDefault="00805684" w:rsidP="00BA2D93">
      <w:pPr>
        <w:pStyle w:val="Heading1"/>
      </w:pPr>
      <w:bookmarkStart w:id="28" w:name="_Toc89070409"/>
      <w:r w:rsidRPr="00527E09">
        <w:lastRenderedPageBreak/>
        <w:t>SELECTED SOURCES</w:t>
      </w:r>
      <w:bookmarkEnd w:id="28"/>
    </w:p>
    <w:p w14:paraId="636F487D" w14:textId="77777777" w:rsidR="00805684" w:rsidRPr="00527E09" w:rsidRDefault="00805684" w:rsidP="00805684">
      <w:pPr>
        <w:rPr>
          <w:rStyle w:val="Hyperlink"/>
          <w:color w:val="auto"/>
        </w:rPr>
      </w:pPr>
      <w:r w:rsidRPr="00527E09">
        <w:t xml:space="preserve">2021 Ontario Economic Outlook and Fiscal Review (2021). </w:t>
      </w:r>
      <w:hyperlink r:id="rId13" w:history="1">
        <w:r w:rsidRPr="00527E09">
          <w:rPr>
            <w:rStyle w:val="Hyperlink"/>
            <w:color w:val="auto"/>
          </w:rPr>
          <w:t>budget.ontario.ca/2021/fallstatement/pdf/2021-fall-statement-en.pdf</w:t>
        </w:r>
      </w:hyperlink>
    </w:p>
    <w:p w14:paraId="04DCCF29" w14:textId="77777777" w:rsidR="00805684" w:rsidRPr="00527E09" w:rsidRDefault="00805684" w:rsidP="00805684">
      <w:r w:rsidRPr="00527E09">
        <w:t xml:space="preserve">Financial Accountability Office of Ontario (2019). </w:t>
      </w:r>
      <w:r w:rsidRPr="00527E09">
        <w:rPr>
          <w:i/>
          <w:iCs/>
        </w:rPr>
        <w:t>Comparing Ontario’s Fiscal Position with Other Provinces</w:t>
      </w:r>
      <w:r w:rsidRPr="00527E09">
        <w:t xml:space="preserve">. </w:t>
      </w:r>
      <w:hyperlink r:id="rId14" w:history="1">
        <w:r w:rsidRPr="00527E09">
          <w:rPr>
            <w:rStyle w:val="Hyperlink"/>
            <w:color w:val="auto"/>
          </w:rPr>
          <w:t>fao-on.org/</w:t>
        </w:r>
        <w:proofErr w:type="spellStart"/>
        <w:r w:rsidRPr="00527E09">
          <w:rPr>
            <w:rStyle w:val="Hyperlink"/>
            <w:color w:val="auto"/>
          </w:rPr>
          <w:t>en</w:t>
        </w:r>
        <w:proofErr w:type="spellEnd"/>
        <w:r w:rsidRPr="00527E09">
          <w:rPr>
            <w:rStyle w:val="Hyperlink"/>
            <w:color w:val="auto"/>
          </w:rPr>
          <w:t>/Blog/Publications/inter-prov-comparisons-feb-2019</w:t>
        </w:r>
      </w:hyperlink>
      <w:r w:rsidRPr="00527E09">
        <w:t xml:space="preserve"> </w:t>
      </w:r>
    </w:p>
    <w:p w14:paraId="38BAD0E2" w14:textId="71EC4FCE" w:rsidR="00805684" w:rsidRPr="00527E09" w:rsidRDefault="00805684" w:rsidP="00805684">
      <w:pPr>
        <w:rPr>
          <w:rStyle w:val="Hyperlink"/>
          <w:color w:val="auto"/>
        </w:rPr>
      </w:pPr>
      <w:r w:rsidRPr="00527E09">
        <w:t xml:space="preserve">Ministry of Education: Spending Plan Review (2021). </w:t>
      </w:r>
      <w:hyperlink r:id="rId15" w:anchor="_ftn5" w:history="1">
        <w:r w:rsidRPr="00527E09">
          <w:rPr>
            <w:rStyle w:val="Hyperlink"/>
            <w:color w:val="auto"/>
          </w:rPr>
          <w:t>fao-on.org/</w:t>
        </w:r>
        <w:proofErr w:type="spellStart"/>
        <w:r w:rsidRPr="00527E09">
          <w:rPr>
            <w:rStyle w:val="Hyperlink"/>
            <w:color w:val="auto"/>
          </w:rPr>
          <w:t>en</w:t>
        </w:r>
        <w:proofErr w:type="spellEnd"/>
        <w:r w:rsidRPr="00527E09">
          <w:rPr>
            <w:rStyle w:val="Hyperlink"/>
            <w:color w:val="auto"/>
          </w:rPr>
          <w:t>/Blog/Publications/2021-education-estimates#_ftn5</w:t>
        </w:r>
      </w:hyperlink>
    </w:p>
    <w:p w14:paraId="1F50504E" w14:textId="394B652A" w:rsidR="00805684" w:rsidRPr="00527E09" w:rsidRDefault="00805684" w:rsidP="00805684">
      <w:pPr>
        <w:rPr>
          <w:rFonts w:eastAsia="Arial" w:cstheme="minorHAnsi"/>
          <w:lang w:val="en-US" w:bidi="en-US"/>
        </w:rPr>
      </w:pPr>
      <w:r w:rsidRPr="00527E09">
        <w:rPr>
          <w:lang w:val="en-US"/>
        </w:rPr>
        <w:t xml:space="preserve">People for Education (2019). </w:t>
      </w:r>
      <w:r w:rsidRPr="00527E09">
        <w:rPr>
          <w:i/>
          <w:lang w:val="en-US"/>
        </w:rPr>
        <w:t>What Makes a School?</w:t>
      </w:r>
      <w:r w:rsidRPr="00527E09">
        <w:rPr>
          <w:lang w:val="en-US"/>
        </w:rPr>
        <w:t xml:space="preserve"> </w:t>
      </w:r>
      <w:r w:rsidRPr="00527E09">
        <w:rPr>
          <w:i/>
          <w:iCs/>
          <w:lang w:val="en-US"/>
        </w:rPr>
        <w:t>People for Education annual report on Ontario’s publicly funded schools 2019</w:t>
      </w:r>
      <w:r w:rsidRPr="00527E09">
        <w:rPr>
          <w:lang w:val="en-US"/>
        </w:rPr>
        <w:t xml:space="preserve">. Toronto, ON: People for Education </w:t>
      </w:r>
      <w:hyperlink r:id="rId16" w:history="1">
        <w:r w:rsidRPr="00527E09">
          <w:rPr>
            <w:rStyle w:val="Hyperlink"/>
            <w:rFonts w:cstheme="minorHAnsi"/>
            <w:color w:val="auto"/>
            <w:lang w:val="en-US"/>
          </w:rPr>
          <w:t>peopleforeducation.ca/report/2019-annual-report-on-schools-what-makes-a-school/</w:t>
        </w:r>
      </w:hyperlink>
      <w:r w:rsidRPr="00527E09">
        <w:rPr>
          <w:rStyle w:val="Hyperlink"/>
          <w:rFonts w:cstheme="minorHAnsi"/>
          <w:color w:val="auto"/>
          <w:lang w:val="en-US"/>
        </w:rPr>
        <w:br/>
      </w:r>
      <w:r w:rsidRPr="00527E09">
        <w:t xml:space="preserve">Ministry of Education (2006). </w:t>
      </w:r>
      <w:r w:rsidRPr="00527E09">
        <w:rPr>
          <w:i/>
          <w:lang w:val="en-US"/>
        </w:rPr>
        <w:t>New Teacher Induction Program Induction Elements Manual 2006</w:t>
      </w:r>
      <w:r w:rsidRPr="00527E09">
        <w:rPr>
          <w:lang w:val="en-US"/>
        </w:rPr>
        <w:t xml:space="preserve"> p.5. </w:t>
      </w:r>
      <w:hyperlink r:id="rId17" w:history="1">
        <w:r w:rsidRPr="00527E09">
          <w:rPr>
            <w:rStyle w:val="Hyperlink"/>
            <w:color w:val="auto"/>
          </w:rPr>
          <w:t>edu.gov.on.ca/</w:t>
        </w:r>
        <w:proofErr w:type="spellStart"/>
        <w:r w:rsidRPr="00527E09">
          <w:rPr>
            <w:rStyle w:val="Hyperlink"/>
            <w:color w:val="auto"/>
          </w:rPr>
          <w:t>eng</w:t>
        </w:r>
        <w:proofErr w:type="spellEnd"/>
        <w:r w:rsidRPr="00527E09">
          <w:rPr>
            <w:rStyle w:val="Hyperlink"/>
            <w:color w:val="auto"/>
          </w:rPr>
          <w:t>/teacher/pdfs/NTIPInductionElements2019.pdf</w:t>
        </w:r>
      </w:hyperlink>
      <w:r w:rsidRPr="00527E09">
        <w:t xml:space="preserve"> </w:t>
      </w:r>
    </w:p>
    <w:p w14:paraId="6286E456" w14:textId="70279350" w:rsidR="00805684" w:rsidRPr="00527E09" w:rsidRDefault="00805684" w:rsidP="00805684">
      <w:pPr>
        <w:rPr>
          <w:rStyle w:val="Hyperlink"/>
          <w:color w:val="auto"/>
          <w:lang w:val="en-US"/>
        </w:rPr>
      </w:pPr>
      <w:r w:rsidRPr="00527E09">
        <w:rPr>
          <w:lang w:val="en-US"/>
        </w:rPr>
        <w:t xml:space="preserve">Ministry of Education (2008). </w:t>
      </w:r>
      <w:r w:rsidRPr="00527E09">
        <w:rPr>
          <w:i/>
          <w:lang w:val="en-US"/>
        </w:rPr>
        <w:t xml:space="preserve">Education Funding Technical Paper 2008-09. </w:t>
      </w:r>
      <w:hyperlink r:id="rId18" w:history="1">
        <w:r w:rsidRPr="00527E09">
          <w:rPr>
            <w:rStyle w:val="Hyperlink"/>
            <w:color w:val="auto"/>
            <w:lang w:val="en-US"/>
          </w:rPr>
          <w:t>edu.gov.on.ca/</w:t>
        </w:r>
        <w:proofErr w:type="spellStart"/>
        <w:r w:rsidRPr="00527E09">
          <w:rPr>
            <w:rStyle w:val="Hyperlink"/>
            <w:color w:val="auto"/>
            <w:lang w:val="en-US"/>
          </w:rPr>
          <w:t>eng</w:t>
        </w:r>
        <w:proofErr w:type="spellEnd"/>
        <w:r w:rsidRPr="00527E09">
          <w:rPr>
            <w:rStyle w:val="Hyperlink"/>
            <w:color w:val="auto"/>
            <w:lang w:val="en-US"/>
          </w:rPr>
          <w:t>/</w:t>
        </w:r>
        <w:proofErr w:type="spellStart"/>
        <w:r w:rsidRPr="00527E09">
          <w:rPr>
            <w:rStyle w:val="Hyperlink"/>
            <w:color w:val="auto"/>
            <w:lang w:val="en-US"/>
          </w:rPr>
          <w:t>policyfunding</w:t>
        </w:r>
        <w:proofErr w:type="spellEnd"/>
        <w:r w:rsidRPr="00527E09">
          <w:rPr>
            <w:rStyle w:val="Hyperlink"/>
            <w:color w:val="auto"/>
            <w:lang w:val="en-US"/>
          </w:rPr>
          <w:t>/funding.html</w:t>
        </w:r>
      </w:hyperlink>
    </w:p>
    <w:p w14:paraId="63396EC2" w14:textId="77777777" w:rsidR="00805684" w:rsidRPr="00527E09" w:rsidRDefault="00805684" w:rsidP="00805684">
      <w:pPr>
        <w:rPr>
          <w:rStyle w:val="Hyperlink"/>
          <w:color w:val="auto"/>
          <w:lang w:val="en-US"/>
        </w:rPr>
      </w:pPr>
      <w:r w:rsidRPr="00527E09">
        <w:rPr>
          <w:lang w:val="en-US"/>
        </w:rPr>
        <w:t xml:space="preserve">Ministry of Education (2009). Education Funding Technical Paper 2009-2010. </w:t>
      </w:r>
      <w:hyperlink r:id="rId19" w:history="1">
        <w:r w:rsidRPr="00527E09">
          <w:rPr>
            <w:rStyle w:val="Hyperlink"/>
            <w:color w:val="auto"/>
            <w:lang w:val="en-US"/>
          </w:rPr>
          <w:t>edu.gov.on.ca/</w:t>
        </w:r>
        <w:proofErr w:type="spellStart"/>
        <w:r w:rsidRPr="00527E09">
          <w:rPr>
            <w:rStyle w:val="Hyperlink"/>
            <w:color w:val="auto"/>
            <w:lang w:val="en-US"/>
          </w:rPr>
          <w:t>eng</w:t>
        </w:r>
        <w:proofErr w:type="spellEnd"/>
        <w:r w:rsidRPr="00527E09">
          <w:rPr>
            <w:rStyle w:val="Hyperlink"/>
            <w:color w:val="auto"/>
            <w:lang w:val="en-US"/>
          </w:rPr>
          <w:t>/</w:t>
        </w:r>
        <w:proofErr w:type="spellStart"/>
        <w:r w:rsidRPr="00527E09">
          <w:rPr>
            <w:rStyle w:val="Hyperlink"/>
            <w:color w:val="auto"/>
            <w:lang w:val="en-US"/>
          </w:rPr>
          <w:t>policyfunding</w:t>
        </w:r>
        <w:proofErr w:type="spellEnd"/>
        <w:r w:rsidRPr="00527E09">
          <w:rPr>
            <w:rStyle w:val="Hyperlink"/>
            <w:color w:val="auto"/>
            <w:lang w:val="en-US"/>
          </w:rPr>
          <w:t>/funding.html</w:t>
        </w:r>
      </w:hyperlink>
    </w:p>
    <w:p w14:paraId="137DB66E" w14:textId="1DC439A9" w:rsidR="00805684" w:rsidRPr="00527E09" w:rsidRDefault="00805684" w:rsidP="00805684">
      <w:pPr>
        <w:rPr>
          <w:lang w:val="en-US"/>
        </w:rPr>
      </w:pPr>
      <w:r w:rsidRPr="00527E09">
        <w:rPr>
          <w:lang w:val="en-US"/>
        </w:rPr>
        <w:t xml:space="preserve">Ministry of Education (2019). </w:t>
      </w:r>
      <w:r w:rsidRPr="00527E09">
        <w:rPr>
          <w:i/>
          <w:lang w:val="en-US"/>
        </w:rPr>
        <w:t>New Teacher Induction Program- Induction Elements Manual</w:t>
      </w:r>
      <w:r w:rsidRPr="00527E09">
        <w:rPr>
          <w:lang w:val="en-US"/>
        </w:rPr>
        <w:t xml:space="preserve"> p. 6. </w:t>
      </w:r>
      <w:hyperlink r:id="rId20" w:history="1">
        <w:r w:rsidRPr="00527E09">
          <w:rPr>
            <w:rStyle w:val="Hyperlink"/>
            <w:color w:val="auto"/>
            <w:lang w:val="en-US"/>
          </w:rPr>
          <w:t>edu.gov.on.ca/</w:t>
        </w:r>
        <w:proofErr w:type="spellStart"/>
        <w:r w:rsidRPr="00527E09">
          <w:rPr>
            <w:rStyle w:val="Hyperlink"/>
            <w:color w:val="auto"/>
            <w:lang w:val="en-US"/>
          </w:rPr>
          <w:t>eng</w:t>
        </w:r>
        <w:proofErr w:type="spellEnd"/>
        <w:r w:rsidRPr="00527E09">
          <w:rPr>
            <w:rStyle w:val="Hyperlink"/>
            <w:color w:val="auto"/>
            <w:lang w:val="en-US"/>
          </w:rPr>
          <w:t>/teacher/pdfs/NTIPInductionElements2019.pdf</w:t>
        </w:r>
      </w:hyperlink>
    </w:p>
    <w:p w14:paraId="58CC4D23" w14:textId="77777777" w:rsidR="00805684" w:rsidRPr="00527E09" w:rsidRDefault="00805684" w:rsidP="00805684">
      <w:pPr>
        <w:rPr>
          <w:rStyle w:val="Hyperlink"/>
          <w:color w:val="auto"/>
          <w:lang w:val="en-US"/>
        </w:rPr>
      </w:pPr>
      <w:r w:rsidRPr="00527E09">
        <w:rPr>
          <w:lang w:val="en-US"/>
        </w:rPr>
        <w:t xml:space="preserve">Ministry of Education (2021). </w:t>
      </w:r>
      <w:r w:rsidRPr="00527E09">
        <w:rPr>
          <w:i/>
          <w:lang w:val="en-US"/>
        </w:rPr>
        <w:t xml:space="preserve">Education Funding –Technical Paper 2021-22 </w:t>
      </w:r>
      <w:r w:rsidRPr="00527E09">
        <w:rPr>
          <w:lang w:val="en-US"/>
        </w:rPr>
        <w:t xml:space="preserve">p. 100 </w:t>
      </w:r>
      <w:hyperlink r:id="rId21" w:history="1">
        <w:r w:rsidRPr="00527E09">
          <w:rPr>
            <w:rStyle w:val="Hyperlink"/>
            <w:color w:val="auto"/>
            <w:lang w:val="en-US"/>
          </w:rPr>
          <w:t>edu.gov.on.ca/</w:t>
        </w:r>
        <w:proofErr w:type="spellStart"/>
        <w:r w:rsidRPr="00527E09">
          <w:rPr>
            <w:rStyle w:val="Hyperlink"/>
            <w:color w:val="auto"/>
            <w:lang w:val="en-US"/>
          </w:rPr>
          <w:t>eng</w:t>
        </w:r>
        <w:proofErr w:type="spellEnd"/>
        <w:r w:rsidRPr="00527E09">
          <w:rPr>
            <w:rStyle w:val="Hyperlink"/>
            <w:color w:val="auto"/>
            <w:lang w:val="en-US"/>
          </w:rPr>
          <w:t>/funding/2122/2021-22-technical-paper.pdf</w:t>
        </w:r>
      </w:hyperlink>
    </w:p>
    <w:p w14:paraId="0FC7061A" w14:textId="36DD365A" w:rsidR="00805684" w:rsidRPr="00527E09" w:rsidRDefault="00805684" w:rsidP="00805684">
      <w:pPr>
        <w:rPr>
          <w:rStyle w:val="Hyperlink"/>
          <w:color w:val="auto"/>
          <w:lang w:val="en-US"/>
        </w:rPr>
      </w:pPr>
      <w:r w:rsidRPr="00527E09">
        <w:rPr>
          <w:lang w:val="en-US"/>
        </w:rPr>
        <w:t xml:space="preserve">Ministry of Education (2021). </w:t>
      </w:r>
      <w:r w:rsidRPr="00527E09">
        <w:rPr>
          <w:i/>
          <w:iCs/>
          <w:lang w:val="en-US"/>
        </w:rPr>
        <w:t xml:space="preserve">B10 Memo 2021-22 Priorities and Partnerships Funding (PPF) </w:t>
      </w:r>
      <w:hyperlink r:id="rId22" w:history="1">
        <w:r w:rsidRPr="00527E09">
          <w:rPr>
            <w:rStyle w:val="Hyperlink"/>
            <w:color w:val="auto"/>
            <w:lang w:val="en-US"/>
          </w:rPr>
          <w:t>efis.fma.csc.gov.on.ca/</w:t>
        </w:r>
        <w:proofErr w:type="spellStart"/>
        <w:r w:rsidRPr="00527E09">
          <w:rPr>
            <w:rStyle w:val="Hyperlink"/>
            <w:color w:val="auto"/>
            <w:lang w:val="en-US"/>
          </w:rPr>
          <w:t>faab</w:t>
        </w:r>
        <w:proofErr w:type="spellEnd"/>
        <w:r w:rsidRPr="00527E09">
          <w:rPr>
            <w:rStyle w:val="Hyperlink"/>
            <w:color w:val="auto"/>
            <w:lang w:val="en-US"/>
          </w:rPr>
          <w:t>/Memos/B2021/B10_EN.pdf</w:t>
        </w:r>
      </w:hyperlink>
    </w:p>
    <w:p w14:paraId="14707FAD" w14:textId="2E21F2FD" w:rsidR="00EC1E98" w:rsidRPr="00527E09" w:rsidRDefault="00805684" w:rsidP="00D9269C">
      <w:pPr>
        <w:rPr>
          <w:lang w:val="en-US" w:bidi="en-US"/>
        </w:rPr>
      </w:pPr>
      <w:r w:rsidRPr="00527E09">
        <w:rPr>
          <w:rFonts w:cstheme="minorHAnsi"/>
        </w:rPr>
        <w:t xml:space="preserve">People for Education (2017). </w:t>
      </w:r>
      <w:r w:rsidRPr="00527E09">
        <w:rPr>
          <w:rFonts w:cstheme="minorHAnsi"/>
          <w:i/>
        </w:rPr>
        <w:t>Competing Priorities</w:t>
      </w:r>
      <w:r w:rsidRPr="00527E09">
        <w:rPr>
          <w:rFonts w:cstheme="minorHAnsi"/>
        </w:rPr>
        <w:t xml:space="preserve"> (Annual Report on Ontario’s Publicly Funded Schools 2017). Toronto, ON: People for Education. </w:t>
      </w:r>
      <w:hyperlink r:id="rId23" w:history="1">
        <w:r w:rsidRPr="00527E09">
          <w:rPr>
            <w:rStyle w:val="Hyperlink"/>
            <w:rFonts w:cstheme="minorHAnsi"/>
            <w:color w:val="auto"/>
          </w:rPr>
          <w:t>peopleforeducation.ca/wp-content/uploads/2017/08/P4E-annual-report-2017.pdf</w:t>
        </w:r>
      </w:hyperlink>
    </w:p>
    <w:sectPr w:rsidR="00EC1E98" w:rsidRPr="00527E09" w:rsidSect="00A516D6">
      <w:headerReference w:type="default" r:id="rId24"/>
      <w:footerReference w:type="default" r:id="rId25"/>
      <w:pgSz w:w="12240" w:h="15840"/>
      <w:pgMar w:top="1871" w:right="1140" w:bottom="1701" w:left="1412"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AB0AB" w14:textId="77777777" w:rsidR="0016157A" w:rsidRDefault="0016157A" w:rsidP="001E10A2">
      <w:pPr>
        <w:spacing w:after="0" w:line="240" w:lineRule="auto"/>
      </w:pPr>
      <w:r>
        <w:separator/>
      </w:r>
    </w:p>
  </w:endnote>
  <w:endnote w:type="continuationSeparator" w:id="0">
    <w:p w14:paraId="062024DB" w14:textId="77777777" w:rsidR="0016157A" w:rsidRDefault="0016157A" w:rsidP="001E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AA5C" w14:textId="43BC882B" w:rsidR="00BD2563" w:rsidRPr="002A2AAC" w:rsidRDefault="00C93FC6" w:rsidP="002A2AA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13B1" w14:textId="77777777" w:rsidR="0016157A" w:rsidRDefault="0016157A" w:rsidP="001E10A2">
      <w:pPr>
        <w:spacing w:after="0" w:line="240" w:lineRule="auto"/>
      </w:pPr>
      <w:r>
        <w:separator/>
      </w:r>
    </w:p>
  </w:footnote>
  <w:footnote w:type="continuationSeparator" w:id="0">
    <w:p w14:paraId="610CDF7E" w14:textId="77777777" w:rsidR="0016157A" w:rsidRDefault="0016157A" w:rsidP="001E10A2">
      <w:pPr>
        <w:spacing w:after="0" w:line="240" w:lineRule="auto"/>
      </w:pPr>
      <w:r>
        <w:continuationSeparator/>
      </w:r>
    </w:p>
  </w:footnote>
  <w:footnote w:id="1">
    <w:p w14:paraId="130DDFDE" w14:textId="7562B037" w:rsidR="00BD2563" w:rsidRPr="001B6FF9" w:rsidRDefault="00BD2563" w:rsidP="0090537F">
      <w:pPr>
        <w:pStyle w:val="FootnoteText"/>
        <w:rPr>
          <w:sz w:val="18"/>
          <w:szCs w:val="18"/>
          <w:lang w:val="en-US"/>
        </w:rPr>
      </w:pPr>
      <w:r w:rsidRPr="001B6FF9">
        <w:rPr>
          <w:rStyle w:val="FootnoteReference"/>
          <w:sz w:val="18"/>
          <w:szCs w:val="18"/>
        </w:rPr>
        <w:footnoteRef/>
      </w:r>
      <w:r w:rsidRPr="001B6FF9">
        <w:rPr>
          <w:sz w:val="18"/>
          <w:szCs w:val="18"/>
        </w:rPr>
        <w:t xml:space="preserve"> 2021 Ontario Economic Outlook and Fiscal Review (2021). </w:t>
      </w:r>
      <w:hyperlink r:id="rId1" w:history="1">
        <w:r w:rsidRPr="00C93FC6">
          <w:rPr>
            <w:rStyle w:val="Hyperlink"/>
            <w:color w:val="auto"/>
            <w:sz w:val="18"/>
            <w:szCs w:val="18"/>
          </w:rPr>
          <w:t>budget.ontario.ca/2021/fallstatement/pdf/2021-fall-statement-en.pdf</w:t>
        </w:r>
      </w:hyperlink>
    </w:p>
  </w:footnote>
  <w:footnote w:id="2">
    <w:p w14:paraId="1652058B" w14:textId="58A12F48" w:rsidR="00BD2563" w:rsidRPr="00C93FC6" w:rsidRDefault="00BD2563" w:rsidP="0090537F">
      <w:pPr>
        <w:pStyle w:val="FootnoteText"/>
        <w:rPr>
          <w:sz w:val="18"/>
          <w:szCs w:val="18"/>
          <w:lang w:val="en-US"/>
        </w:rPr>
      </w:pPr>
      <w:r w:rsidRPr="00C93FC6">
        <w:rPr>
          <w:rStyle w:val="FootnoteReference"/>
          <w:sz w:val="18"/>
          <w:szCs w:val="18"/>
        </w:rPr>
        <w:footnoteRef/>
      </w:r>
      <w:r w:rsidRPr="00C93FC6">
        <w:rPr>
          <w:sz w:val="18"/>
          <w:szCs w:val="18"/>
        </w:rPr>
        <w:t xml:space="preserve"> </w:t>
      </w:r>
      <w:r w:rsidRPr="00C93FC6">
        <w:rPr>
          <w:sz w:val="18"/>
          <w:szCs w:val="18"/>
          <w:lang w:val="en-US"/>
        </w:rPr>
        <w:t>Ministry of Finance, Government of Ontario</w:t>
      </w:r>
      <w:r w:rsidRPr="00C93FC6">
        <w:rPr>
          <w:sz w:val="18"/>
          <w:szCs w:val="18"/>
        </w:rPr>
        <w:t xml:space="preserve"> </w:t>
      </w:r>
      <w:hyperlink r:id="rId2" w:history="1">
        <w:r w:rsidRPr="00C93FC6">
          <w:rPr>
            <w:rStyle w:val="Hyperlink"/>
            <w:color w:val="auto"/>
            <w:sz w:val="18"/>
            <w:szCs w:val="18"/>
          </w:rPr>
          <w:t>ontario.ca/page/ministry-finance</w:t>
        </w:r>
      </w:hyperlink>
      <w:r w:rsidRPr="00C93FC6">
        <w:rPr>
          <w:sz w:val="18"/>
          <w:szCs w:val="18"/>
        </w:rPr>
        <w:t xml:space="preserve"> </w:t>
      </w:r>
    </w:p>
  </w:footnote>
  <w:footnote w:id="3">
    <w:p w14:paraId="5AF345A0" w14:textId="24D056CE" w:rsidR="00BD2563" w:rsidRPr="001B6FF9" w:rsidRDefault="00BD2563" w:rsidP="0090537F">
      <w:pPr>
        <w:pStyle w:val="FootnoteText"/>
        <w:rPr>
          <w:sz w:val="18"/>
          <w:szCs w:val="18"/>
          <w:lang w:val="en-US"/>
        </w:rPr>
      </w:pPr>
      <w:r w:rsidRPr="00C93FC6">
        <w:rPr>
          <w:rStyle w:val="FootnoteReference"/>
          <w:sz w:val="18"/>
          <w:szCs w:val="18"/>
        </w:rPr>
        <w:footnoteRef/>
      </w:r>
      <w:r w:rsidRPr="00C93FC6">
        <w:rPr>
          <w:sz w:val="18"/>
          <w:szCs w:val="18"/>
        </w:rPr>
        <w:t xml:space="preserve"> Financial Accountability Office of Ontario (2019). </w:t>
      </w:r>
      <w:r w:rsidRPr="00C93FC6">
        <w:rPr>
          <w:i/>
          <w:iCs/>
          <w:sz w:val="18"/>
          <w:szCs w:val="18"/>
        </w:rPr>
        <w:t>Comparing Ontario’s Fiscal Position with Other Provinces</w:t>
      </w:r>
      <w:r w:rsidRPr="00C93FC6">
        <w:rPr>
          <w:sz w:val="18"/>
          <w:szCs w:val="18"/>
        </w:rPr>
        <w:t xml:space="preserve">. </w:t>
      </w:r>
      <w:hyperlink r:id="rId3" w:history="1">
        <w:r w:rsidRPr="00C93FC6">
          <w:rPr>
            <w:rStyle w:val="Hyperlink"/>
            <w:color w:val="auto"/>
            <w:sz w:val="18"/>
            <w:szCs w:val="18"/>
          </w:rPr>
          <w:t>fao-on.org/en/Blog/Publications/inter-prov-comparisons-feb-2019</w:t>
        </w:r>
      </w:hyperlink>
      <w:r w:rsidRPr="00C93FC6">
        <w:rPr>
          <w:sz w:val="18"/>
          <w:szCs w:val="18"/>
        </w:rPr>
        <w:t xml:space="preserve"> </w:t>
      </w:r>
    </w:p>
  </w:footnote>
  <w:footnote w:id="4">
    <w:p w14:paraId="41C2E3D7" w14:textId="53C4DC4C" w:rsidR="00BD2563" w:rsidRPr="00C93FC6" w:rsidRDefault="00BD2563" w:rsidP="0090537F">
      <w:pPr>
        <w:pStyle w:val="FootnoteText"/>
        <w:rPr>
          <w:sz w:val="18"/>
          <w:szCs w:val="18"/>
          <w:lang w:val="en-US"/>
        </w:rPr>
      </w:pPr>
      <w:r w:rsidRPr="00C93FC6">
        <w:rPr>
          <w:rStyle w:val="FootnoteReference"/>
          <w:sz w:val="18"/>
          <w:szCs w:val="18"/>
        </w:rPr>
        <w:footnoteRef/>
      </w:r>
      <w:r w:rsidRPr="00C93FC6">
        <w:rPr>
          <w:sz w:val="18"/>
          <w:szCs w:val="18"/>
        </w:rPr>
        <w:t xml:space="preserve"> Financial Accountability Office of Ontario (2019). </w:t>
      </w:r>
      <w:r w:rsidRPr="00C93FC6">
        <w:rPr>
          <w:i/>
          <w:iCs/>
          <w:sz w:val="18"/>
          <w:szCs w:val="18"/>
        </w:rPr>
        <w:t>Comparing Ontario’s Fiscal Position with Other Provinces</w:t>
      </w:r>
      <w:r w:rsidRPr="00C93FC6">
        <w:rPr>
          <w:sz w:val="18"/>
          <w:szCs w:val="18"/>
        </w:rPr>
        <w:t xml:space="preserve">. </w:t>
      </w:r>
      <w:hyperlink r:id="rId4" w:history="1">
        <w:r w:rsidRPr="00C93FC6">
          <w:rPr>
            <w:rStyle w:val="Hyperlink"/>
            <w:color w:val="auto"/>
            <w:sz w:val="18"/>
            <w:szCs w:val="18"/>
          </w:rPr>
          <w:t>fao-on.org/en/Blog/Publications/inter-prov-comparisons-feb-2019</w:t>
        </w:r>
      </w:hyperlink>
    </w:p>
  </w:footnote>
  <w:footnote w:id="5">
    <w:p w14:paraId="6CAB8B57" w14:textId="742735CF" w:rsidR="00BD2563" w:rsidRPr="00C93FC6" w:rsidRDefault="00BD2563" w:rsidP="0090537F">
      <w:pPr>
        <w:pStyle w:val="FootnoteText"/>
        <w:rPr>
          <w:lang w:val="en-US"/>
        </w:rPr>
      </w:pPr>
      <w:r w:rsidRPr="00C93FC6">
        <w:rPr>
          <w:rStyle w:val="FootnoteReference"/>
          <w:sz w:val="18"/>
          <w:szCs w:val="18"/>
        </w:rPr>
        <w:footnoteRef/>
      </w:r>
      <w:r w:rsidRPr="00C93FC6">
        <w:rPr>
          <w:sz w:val="18"/>
          <w:szCs w:val="18"/>
        </w:rPr>
        <w:t xml:space="preserve"> Ministry of Education: Spending Plan Review (2021). </w:t>
      </w:r>
      <w:hyperlink r:id="rId5" w:anchor="_ftn5" w:history="1">
        <w:r w:rsidRPr="00C93FC6">
          <w:rPr>
            <w:rStyle w:val="Hyperlink"/>
            <w:color w:val="auto"/>
            <w:sz w:val="18"/>
            <w:szCs w:val="18"/>
          </w:rPr>
          <w:t>fao-on.org/en/Blog/Publications/2021-education-estimates#_ftn5</w:t>
        </w:r>
      </w:hyperlink>
    </w:p>
  </w:footnote>
  <w:footnote w:id="6">
    <w:p w14:paraId="0C0D7973" w14:textId="1608BF4B" w:rsidR="00BD2563" w:rsidRPr="001B6FF9" w:rsidRDefault="00BD2563" w:rsidP="0090537F">
      <w:pPr>
        <w:pStyle w:val="FootnoteText"/>
        <w:rPr>
          <w:sz w:val="18"/>
          <w:szCs w:val="18"/>
          <w:lang w:val="en-US"/>
        </w:rPr>
      </w:pPr>
      <w:r w:rsidRPr="00C93FC6">
        <w:rPr>
          <w:rStyle w:val="FootnoteReference"/>
          <w:sz w:val="18"/>
          <w:szCs w:val="18"/>
        </w:rPr>
        <w:footnoteRef/>
      </w:r>
      <w:r w:rsidRPr="00C93FC6">
        <w:rPr>
          <w:sz w:val="18"/>
          <w:szCs w:val="18"/>
        </w:rPr>
        <w:t xml:space="preserve"> </w:t>
      </w:r>
      <w:r w:rsidRPr="00C93FC6">
        <w:rPr>
          <w:i/>
          <w:iCs/>
          <w:sz w:val="18"/>
          <w:szCs w:val="18"/>
        </w:rPr>
        <w:t>Ibid.</w:t>
      </w:r>
      <w:r w:rsidRPr="00C93FC6">
        <w:rPr>
          <w:sz w:val="18"/>
          <w:szCs w:val="18"/>
        </w:rPr>
        <w:t xml:space="preserve"> </w:t>
      </w:r>
    </w:p>
  </w:footnote>
  <w:footnote w:id="7">
    <w:p w14:paraId="63D11844" w14:textId="2DCC3A2E" w:rsidR="00BD2563" w:rsidRPr="00F756A6" w:rsidRDefault="00BD2563">
      <w:pPr>
        <w:pStyle w:val="FootnoteText"/>
        <w:rPr>
          <w:sz w:val="18"/>
          <w:szCs w:val="18"/>
        </w:rPr>
      </w:pPr>
      <w:r w:rsidRPr="00C93FC6">
        <w:rPr>
          <w:rStyle w:val="FootnoteReference"/>
        </w:rPr>
        <w:footnoteRef/>
      </w:r>
      <w:r w:rsidRPr="00C93FC6">
        <w:t xml:space="preserve"> </w:t>
      </w:r>
      <w:r w:rsidRPr="00C93FC6">
        <w:rPr>
          <w:rFonts w:cstheme="minorHAnsi"/>
          <w:sz w:val="18"/>
          <w:szCs w:val="18"/>
          <w:lang w:val="en-US"/>
        </w:rPr>
        <w:t xml:space="preserve">People for Education (2019). </w:t>
      </w:r>
      <w:r w:rsidRPr="00C93FC6">
        <w:rPr>
          <w:rFonts w:cstheme="minorHAnsi"/>
          <w:i/>
          <w:sz w:val="18"/>
          <w:szCs w:val="18"/>
          <w:lang w:val="en-US"/>
        </w:rPr>
        <w:t>What Makes a School?</w:t>
      </w:r>
      <w:r w:rsidRPr="00C93FC6">
        <w:rPr>
          <w:rFonts w:cstheme="minorHAnsi"/>
          <w:sz w:val="18"/>
          <w:szCs w:val="18"/>
          <w:lang w:val="en-US"/>
        </w:rPr>
        <w:t xml:space="preserve"> (Annual report on Ontario’s publicly funded schools 2019). Toronto, ON: People for Education </w:t>
      </w:r>
      <w:hyperlink r:id="rId6" w:history="1">
        <w:r w:rsidRPr="00C93FC6">
          <w:rPr>
            <w:rStyle w:val="Hyperlink"/>
            <w:rFonts w:cstheme="minorHAnsi"/>
            <w:color w:val="auto"/>
            <w:sz w:val="18"/>
            <w:szCs w:val="18"/>
            <w:lang w:val="en-US"/>
          </w:rPr>
          <w:t>peopleforeducation.ca/report/2019-annual-report-on-schools-what-makes-a-school/</w:t>
        </w:r>
      </w:hyperlink>
    </w:p>
  </w:footnote>
  <w:footnote w:id="8">
    <w:p w14:paraId="24AB4D8C" w14:textId="4C08D0D4" w:rsidR="00BD2563" w:rsidRPr="00C93FC6" w:rsidRDefault="00BD2563" w:rsidP="001F55F3">
      <w:pPr>
        <w:pStyle w:val="FootnoteText"/>
        <w:rPr>
          <w:sz w:val="18"/>
          <w:szCs w:val="18"/>
          <w:lang w:val="en-US"/>
        </w:rPr>
      </w:pPr>
      <w:r w:rsidRPr="00C93FC6">
        <w:rPr>
          <w:rStyle w:val="FootnoteReference"/>
          <w:sz w:val="18"/>
          <w:szCs w:val="18"/>
        </w:rPr>
        <w:footnoteRef/>
      </w:r>
      <w:r w:rsidRPr="00C93FC6">
        <w:rPr>
          <w:sz w:val="18"/>
          <w:szCs w:val="18"/>
        </w:rPr>
        <w:t xml:space="preserve"> Ministry of Education (2006). </w:t>
      </w:r>
      <w:r w:rsidRPr="00C93FC6">
        <w:rPr>
          <w:i/>
          <w:sz w:val="18"/>
          <w:szCs w:val="18"/>
          <w:lang w:val="en-US"/>
        </w:rPr>
        <w:t>New Teacher Induction Program Induction Elements Manual 2006</w:t>
      </w:r>
      <w:r w:rsidRPr="00C93FC6">
        <w:rPr>
          <w:sz w:val="18"/>
          <w:szCs w:val="18"/>
          <w:lang w:val="en-US"/>
        </w:rPr>
        <w:t xml:space="preserve"> p.5. </w:t>
      </w:r>
      <w:hyperlink r:id="rId7" w:history="1">
        <w:r w:rsidRPr="00C93FC6">
          <w:rPr>
            <w:rStyle w:val="Hyperlink"/>
            <w:color w:val="auto"/>
            <w:sz w:val="18"/>
            <w:szCs w:val="18"/>
          </w:rPr>
          <w:t>edu.gov.on.ca/eng/teacher/pdfs/NTIPInductionElements2019.pdf</w:t>
        </w:r>
      </w:hyperlink>
      <w:r w:rsidRPr="00C93FC6">
        <w:rPr>
          <w:sz w:val="18"/>
          <w:szCs w:val="18"/>
        </w:rPr>
        <w:t xml:space="preserve"> </w:t>
      </w:r>
    </w:p>
    <w:p w14:paraId="5ACAC947" w14:textId="77777777" w:rsidR="00BD2563" w:rsidRPr="00C93FC6" w:rsidRDefault="00BD2563" w:rsidP="001F55F3">
      <w:pPr>
        <w:pStyle w:val="FootnoteText"/>
        <w:rPr>
          <w:sz w:val="18"/>
          <w:szCs w:val="18"/>
          <w:lang w:val="en-US"/>
        </w:rPr>
      </w:pPr>
    </w:p>
  </w:footnote>
  <w:footnote w:id="9">
    <w:p w14:paraId="30988555" w14:textId="4890DFF6" w:rsidR="00BD2563" w:rsidRPr="00C93FC6" w:rsidRDefault="00BD2563" w:rsidP="001F55F3">
      <w:pPr>
        <w:pStyle w:val="FootnoteText"/>
        <w:rPr>
          <w:sz w:val="18"/>
          <w:szCs w:val="18"/>
          <w:lang w:val="en-US"/>
        </w:rPr>
      </w:pPr>
      <w:r w:rsidRPr="00C93FC6">
        <w:rPr>
          <w:rStyle w:val="FootnoteReference"/>
          <w:sz w:val="18"/>
          <w:szCs w:val="18"/>
        </w:rPr>
        <w:footnoteRef/>
      </w:r>
      <w:r w:rsidRPr="00C93FC6">
        <w:rPr>
          <w:sz w:val="18"/>
          <w:szCs w:val="18"/>
        </w:rPr>
        <w:t xml:space="preserve"> </w:t>
      </w:r>
      <w:r w:rsidRPr="00C93FC6">
        <w:rPr>
          <w:sz w:val="18"/>
          <w:szCs w:val="18"/>
          <w:lang w:val="en-US"/>
        </w:rPr>
        <w:t xml:space="preserve">Ministry of Education (2008). </w:t>
      </w:r>
      <w:r w:rsidRPr="00C93FC6">
        <w:rPr>
          <w:i/>
          <w:sz w:val="18"/>
          <w:szCs w:val="18"/>
          <w:lang w:val="en-US"/>
        </w:rPr>
        <w:t xml:space="preserve">Education Funding Technical Paper 2008-09. </w:t>
      </w:r>
      <w:hyperlink r:id="rId8" w:history="1">
        <w:r w:rsidRPr="00C93FC6">
          <w:rPr>
            <w:rStyle w:val="Hyperlink"/>
            <w:color w:val="auto"/>
            <w:sz w:val="18"/>
            <w:szCs w:val="18"/>
            <w:lang w:val="en-US"/>
          </w:rPr>
          <w:t>edu.gov.on.ca/eng/policyfunding/funding.html</w:t>
        </w:r>
      </w:hyperlink>
    </w:p>
    <w:p w14:paraId="663FCDDE" w14:textId="77777777" w:rsidR="00BD2563" w:rsidRPr="00C93FC6" w:rsidRDefault="00BD2563" w:rsidP="001F55F3">
      <w:pPr>
        <w:pStyle w:val="FootnoteText"/>
        <w:rPr>
          <w:sz w:val="18"/>
          <w:szCs w:val="18"/>
          <w:lang w:val="en-US"/>
        </w:rPr>
      </w:pPr>
    </w:p>
  </w:footnote>
  <w:footnote w:id="10">
    <w:p w14:paraId="38C99C22" w14:textId="3FB6D45B" w:rsidR="00BD2563" w:rsidRPr="00C93FC6" w:rsidRDefault="00BD2563" w:rsidP="001F55F3">
      <w:pPr>
        <w:pStyle w:val="FootnoteText"/>
        <w:rPr>
          <w:sz w:val="18"/>
          <w:szCs w:val="18"/>
          <w:lang w:val="en-US"/>
        </w:rPr>
      </w:pPr>
      <w:r w:rsidRPr="00C93FC6">
        <w:rPr>
          <w:rStyle w:val="FootnoteReference"/>
          <w:sz w:val="18"/>
          <w:szCs w:val="18"/>
        </w:rPr>
        <w:footnoteRef/>
      </w:r>
      <w:r w:rsidRPr="00C93FC6">
        <w:rPr>
          <w:sz w:val="18"/>
          <w:szCs w:val="18"/>
        </w:rPr>
        <w:t xml:space="preserve"> </w:t>
      </w:r>
      <w:r w:rsidRPr="00C93FC6">
        <w:rPr>
          <w:sz w:val="18"/>
          <w:szCs w:val="18"/>
          <w:lang w:val="en-US"/>
        </w:rPr>
        <w:t xml:space="preserve">Ministry of Education (2009). Education Funding Technical Paper 2009-2010. </w:t>
      </w:r>
      <w:hyperlink r:id="rId9" w:history="1">
        <w:r w:rsidRPr="00C93FC6">
          <w:rPr>
            <w:rStyle w:val="Hyperlink"/>
            <w:color w:val="auto"/>
            <w:sz w:val="18"/>
            <w:szCs w:val="18"/>
            <w:lang w:val="en-US"/>
          </w:rPr>
          <w:t>edu.gov.on.ca/eng/policyfunding/funding.html</w:t>
        </w:r>
      </w:hyperlink>
    </w:p>
    <w:p w14:paraId="2977A011" w14:textId="77777777" w:rsidR="00BD2563" w:rsidRPr="00AA0EE8" w:rsidRDefault="00BD2563" w:rsidP="001F55F3">
      <w:pPr>
        <w:pStyle w:val="FootnoteText"/>
        <w:rPr>
          <w:sz w:val="18"/>
          <w:szCs w:val="18"/>
          <w:lang w:val="en-US"/>
        </w:rPr>
      </w:pPr>
    </w:p>
  </w:footnote>
  <w:footnote w:id="11">
    <w:p w14:paraId="6D446C3D" w14:textId="2F6F1D29" w:rsidR="00BD2563" w:rsidRPr="00C93FC6" w:rsidRDefault="00BD2563" w:rsidP="001F55F3">
      <w:pPr>
        <w:pStyle w:val="FootnoteText"/>
        <w:rPr>
          <w:sz w:val="18"/>
          <w:szCs w:val="18"/>
          <w:lang w:val="en-US"/>
        </w:rPr>
      </w:pPr>
      <w:r w:rsidRPr="00C93FC6">
        <w:rPr>
          <w:rStyle w:val="FootnoteReference"/>
          <w:sz w:val="18"/>
          <w:szCs w:val="18"/>
        </w:rPr>
        <w:footnoteRef/>
      </w:r>
      <w:r w:rsidRPr="00C93FC6">
        <w:rPr>
          <w:sz w:val="18"/>
          <w:szCs w:val="18"/>
        </w:rPr>
        <w:t xml:space="preserve"> </w:t>
      </w:r>
      <w:r w:rsidRPr="00C93FC6">
        <w:rPr>
          <w:sz w:val="18"/>
          <w:szCs w:val="18"/>
          <w:lang w:val="en-US"/>
        </w:rPr>
        <w:t xml:space="preserve">Ministry of Education (2019). </w:t>
      </w:r>
      <w:r w:rsidRPr="00C93FC6">
        <w:rPr>
          <w:i/>
          <w:sz w:val="18"/>
          <w:szCs w:val="18"/>
          <w:lang w:val="en-US"/>
        </w:rPr>
        <w:t>New Teacher Induction Program- Induction Elements Manual</w:t>
      </w:r>
      <w:r w:rsidRPr="00C93FC6">
        <w:rPr>
          <w:sz w:val="18"/>
          <w:szCs w:val="18"/>
          <w:lang w:val="en-US"/>
        </w:rPr>
        <w:t xml:space="preserve"> p. 6. </w:t>
      </w:r>
      <w:hyperlink r:id="rId10" w:history="1">
        <w:r w:rsidRPr="00C93FC6">
          <w:rPr>
            <w:rStyle w:val="Hyperlink"/>
            <w:color w:val="auto"/>
            <w:sz w:val="18"/>
            <w:szCs w:val="18"/>
            <w:lang w:val="en-US"/>
          </w:rPr>
          <w:t>edu.gov.on.ca/eng/teacher/pdfs/NTIPInductionElements2019.pdf</w:t>
        </w:r>
      </w:hyperlink>
    </w:p>
    <w:p w14:paraId="74F9459C" w14:textId="77777777" w:rsidR="00BD2563" w:rsidRPr="00C93FC6" w:rsidRDefault="00BD2563" w:rsidP="001F55F3">
      <w:pPr>
        <w:pStyle w:val="FootnoteText"/>
        <w:rPr>
          <w:lang w:val="en-US"/>
        </w:rPr>
      </w:pPr>
    </w:p>
  </w:footnote>
  <w:footnote w:id="12">
    <w:p w14:paraId="19F06FC7" w14:textId="2AA87C4D" w:rsidR="00BD2563" w:rsidRPr="00C93FC6" w:rsidRDefault="00BD2563" w:rsidP="001F55F3">
      <w:pPr>
        <w:pStyle w:val="FootnoteText"/>
        <w:rPr>
          <w:sz w:val="18"/>
          <w:szCs w:val="18"/>
          <w:lang w:val="en-US"/>
        </w:rPr>
      </w:pPr>
      <w:r w:rsidRPr="00C93FC6">
        <w:rPr>
          <w:rStyle w:val="FootnoteReference"/>
          <w:sz w:val="18"/>
          <w:szCs w:val="18"/>
        </w:rPr>
        <w:footnoteRef/>
      </w:r>
      <w:r w:rsidRPr="00C93FC6">
        <w:rPr>
          <w:sz w:val="18"/>
          <w:szCs w:val="18"/>
        </w:rPr>
        <w:t xml:space="preserve"> </w:t>
      </w:r>
      <w:r w:rsidRPr="00C93FC6">
        <w:rPr>
          <w:sz w:val="18"/>
          <w:szCs w:val="18"/>
          <w:lang w:val="en-US"/>
        </w:rPr>
        <w:t xml:space="preserve">Ministry of Education (2021). </w:t>
      </w:r>
      <w:r w:rsidRPr="00C93FC6">
        <w:rPr>
          <w:i/>
          <w:sz w:val="18"/>
          <w:szCs w:val="18"/>
          <w:lang w:val="en-US"/>
        </w:rPr>
        <w:t xml:space="preserve">Education Funding –Technical Paper 2021-22 </w:t>
      </w:r>
      <w:r w:rsidRPr="00C93FC6">
        <w:rPr>
          <w:sz w:val="18"/>
          <w:szCs w:val="18"/>
          <w:lang w:val="en-US"/>
        </w:rPr>
        <w:t xml:space="preserve">p. 100 </w:t>
      </w:r>
      <w:hyperlink r:id="rId11" w:history="1">
        <w:r w:rsidRPr="00C93FC6">
          <w:rPr>
            <w:rStyle w:val="Hyperlink"/>
            <w:color w:val="auto"/>
            <w:sz w:val="18"/>
            <w:szCs w:val="18"/>
            <w:lang w:val="en-US"/>
          </w:rPr>
          <w:t>edu.gov.on.ca/eng/funding/2122/2021-22-technical-paper.pdf</w:t>
        </w:r>
      </w:hyperlink>
    </w:p>
    <w:p w14:paraId="37FCF3BE" w14:textId="77777777" w:rsidR="00BD2563" w:rsidRPr="00AA0EE8" w:rsidRDefault="00BD2563" w:rsidP="001F55F3">
      <w:pPr>
        <w:pStyle w:val="FootnoteText"/>
        <w:rPr>
          <w:sz w:val="18"/>
          <w:szCs w:val="18"/>
          <w:lang w:val="en-US"/>
        </w:rPr>
      </w:pPr>
    </w:p>
  </w:footnote>
  <w:footnote w:id="13">
    <w:p w14:paraId="564E9EF2" w14:textId="77777777" w:rsidR="00BD2563" w:rsidRPr="00C93FC6" w:rsidRDefault="00BD2563" w:rsidP="00E16DA5">
      <w:pPr>
        <w:pStyle w:val="FootnoteText"/>
        <w:rPr>
          <w:i/>
          <w:iCs/>
          <w:sz w:val="18"/>
          <w:szCs w:val="18"/>
          <w:lang w:val="en-US"/>
        </w:rPr>
      </w:pPr>
      <w:r w:rsidRPr="00AA0EE8">
        <w:rPr>
          <w:rStyle w:val="FootnoteReference"/>
          <w:sz w:val="18"/>
          <w:szCs w:val="18"/>
        </w:rPr>
        <w:footnoteRef/>
      </w:r>
      <w:r w:rsidRPr="00AA0EE8">
        <w:rPr>
          <w:sz w:val="18"/>
          <w:szCs w:val="18"/>
        </w:rPr>
        <w:t xml:space="preserve"> </w:t>
      </w:r>
      <w:r w:rsidRPr="00AA0EE8">
        <w:rPr>
          <w:sz w:val="18"/>
          <w:szCs w:val="18"/>
          <w:lang w:val="en-US"/>
        </w:rPr>
        <w:t xml:space="preserve">Ministry of Education (2021). </w:t>
      </w:r>
      <w:r w:rsidRPr="00AA0EE8">
        <w:rPr>
          <w:i/>
          <w:iCs/>
          <w:sz w:val="18"/>
          <w:szCs w:val="18"/>
          <w:lang w:val="en-US"/>
        </w:rPr>
        <w:t xml:space="preserve">B10 </w:t>
      </w:r>
      <w:r w:rsidRPr="00C93FC6">
        <w:rPr>
          <w:i/>
          <w:iCs/>
          <w:sz w:val="18"/>
          <w:szCs w:val="18"/>
          <w:lang w:val="en-US"/>
        </w:rPr>
        <w:t xml:space="preserve">Memo 2021-22 Priorities and Partnerships Funding (PPF) </w:t>
      </w:r>
      <w:hyperlink r:id="rId12" w:history="1">
        <w:r w:rsidRPr="00C93FC6">
          <w:rPr>
            <w:rStyle w:val="Hyperlink"/>
            <w:color w:val="auto"/>
            <w:sz w:val="18"/>
            <w:szCs w:val="18"/>
            <w:lang w:val="en-US"/>
          </w:rPr>
          <w:t>efis.fma.csc.gov.on.ca/faab/Memos/B2021/B10_EN.pdf</w:t>
        </w:r>
      </w:hyperlink>
    </w:p>
    <w:p w14:paraId="2134901E" w14:textId="77777777" w:rsidR="00BD2563" w:rsidRPr="00321C96" w:rsidRDefault="00BD2563" w:rsidP="00E16DA5">
      <w:pPr>
        <w:pStyle w:val="FootnoteText"/>
        <w:rPr>
          <w:lang w:val="en-US"/>
        </w:rPr>
      </w:pPr>
    </w:p>
  </w:footnote>
  <w:footnote w:id="14">
    <w:p w14:paraId="2D882B79" w14:textId="77777777" w:rsidR="00BD2563" w:rsidRPr="00B72BFF" w:rsidRDefault="00BD2563" w:rsidP="00B72BFF">
      <w:pPr>
        <w:spacing w:after="0" w:line="240" w:lineRule="auto"/>
        <w:rPr>
          <w:rFonts w:cstheme="minorHAnsi"/>
          <w:sz w:val="18"/>
          <w:szCs w:val="18"/>
        </w:rPr>
      </w:pPr>
      <w:r w:rsidRPr="00C93FC6">
        <w:rPr>
          <w:rStyle w:val="FootnoteReference"/>
          <w:rFonts w:cstheme="minorHAnsi"/>
        </w:rPr>
        <w:footnoteRef/>
      </w:r>
      <w:r w:rsidRPr="00C93FC6">
        <w:rPr>
          <w:rFonts w:cstheme="minorHAnsi"/>
          <w:sz w:val="20"/>
          <w:szCs w:val="20"/>
        </w:rPr>
        <w:t xml:space="preserve"> </w:t>
      </w:r>
      <w:r w:rsidRPr="00C93FC6">
        <w:rPr>
          <w:rFonts w:cstheme="minorHAnsi"/>
          <w:sz w:val="18"/>
          <w:szCs w:val="18"/>
        </w:rPr>
        <w:t xml:space="preserve">People for Education (2017). </w:t>
      </w:r>
      <w:r w:rsidRPr="00C93FC6">
        <w:rPr>
          <w:rFonts w:cstheme="minorHAnsi"/>
          <w:i/>
          <w:sz w:val="18"/>
          <w:szCs w:val="18"/>
        </w:rPr>
        <w:t>Competing Priorities</w:t>
      </w:r>
      <w:r w:rsidRPr="00C93FC6">
        <w:rPr>
          <w:rFonts w:cstheme="minorHAnsi"/>
          <w:sz w:val="18"/>
          <w:szCs w:val="18"/>
        </w:rPr>
        <w:t xml:space="preserve"> (Annual Report on Ontario’s Publicly Funded Schools 2017). Toronto, ON: People for Education. </w:t>
      </w:r>
      <w:hyperlink r:id="rId13" w:history="1">
        <w:r w:rsidRPr="00C93FC6">
          <w:rPr>
            <w:rStyle w:val="Hyperlink"/>
            <w:rFonts w:cstheme="minorHAnsi"/>
            <w:color w:val="auto"/>
            <w:sz w:val="18"/>
            <w:szCs w:val="18"/>
          </w:rPr>
          <w:t>peopleforeducation.ca/wp-content/uploads/2017/08/P4E-annual-report-2017.pdf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6F77" w14:textId="07B07413" w:rsidR="00BD2563" w:rsidRPr="006363E1" w:rsidRDefault="00BD2563" w:rsidP="00636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F72"/>
    <w:multiLevelType w:val="hybridMultilevel"/>
    <w:tmpl w:val="C4020458"/>
    <w:lvl w:ilvl="0" w:tplc="14D6B92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75E06"/>
    <w:multiLevelType w:val="hybridMultilevel"/>
    <w:tmpl w:val="BE765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23F6962"/>
    <w:multiLevelType w:val="hybridMultilevel"/>
    <w:tmpl w:val="58BA3F6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351F1FD1"/>
    <w:multiLevelType w:val="hybridMultilevel"/>
    <w:tmpl w:val="A6AC8B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F362EC7"/>
    <w:multiLevelType w:val="hybridMultilevel"/>
    <w:tmpl w:val="64D0D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20C13D8"/>
    <w:multiLevelType w:val="hybridMultilevel"/>
    <w:tmpl w:val="FDDA4DB4"/>
    <w:lvl w:ilvl="0" w:tplc="83C49CA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45CE3338"/>
    <w:multiLevelType w:val="hybridMultilevel"/>
    <w:tmpl w:val="B81EEC78"/>
    <w:lvl w:ilvl="0" w:tplc="D91E1166">
      <w:start w:val="2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88A10E2"/>
    <w:multiLevelType w:val="hybridMultilevel"/>
    <w:tmpl w:val="B8B20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1184AB3"/>
    <w:multiLevelType w:val="hybridMultilevel"/>
    <w:tmpl w:val="C1E04BC8"/>
    <w:lvl w:ilvl="0" w:tplc="0FDE130E">
      <w:start w:val="1"/>
      <w:numFmt w:val="decimal"/>
      <w:pStyle w:val="Reccomendations"/>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64F673CE"/>
    <w:multiLevelType w:val="hybridMultilevel"/>
    <w:tmpl w:val="2FE4CAA4"/>
    <w:lvl w:ilvl="0" w:tplc="F2DA55F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7BFE1142"/>
    <w:multiLevelType w:val="hybridMultilevel"/>
    <w:tmpl w:val="7FA6736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4"/>
  </w:num>
  <w:num w:numId="4">
    <w:abstractNumId w:val="2"/>
  </w:num>
  <w:num w:numId="5">
    <w:abstractNumId w:val="5"/>
  </w:num>
  <w:num w:numId="6">
    <w:abstractNumId w:val="3"/>
  </w:num>
  <w:num w:numId="7">
    <w:abstractNumId w:val="8"/>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8"/>
    <w:lvlOverride w:ilvl="0">
      <w:startOverride w:val="1"/>
    </w:lvlOverride>
  </w:num>
  <w:num w:numId="13">
    <w:abstractNumId w:val="8"/>
    <w:lvlOverride w:ilvl="0">
      <w:startOverride w:val="1"/>
    </w:lvlOverride>
  </w:num>
  <w:num w:numId="14">
    <w:abstractNumId w:val="1"/>
  </w:num>
  <w:num w:numId="15">
    <w:abstractNumId w:val="7"/>
  </w:num>
  <w:num w:numId="16">
    <w:abstractNumId w:val="8"/>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46"/>
    <w:rsid w:val="000008C5"/>
    <w:rsid w:val="00003952"/>
    <w:rsid w:val="000061C0"/>
    <w:rsid w:val="00006241"/>
    <w:rsid w:val="00006B08"/>
    <w:rsid w:val="0000707B"/>
    <w:rsid w:val="00007109"/>
    <w:rsid w:val="0001038C"/>
    <w:rsid w:val="0001070A"/>
    <w:rsid w:val="00011560"/>
    <w:rsid w:val="00011F43"/>
    <w:rsid w:val="0001318D"/>
    <w:rsid w:val="00014CF3"/>
    <w:rsid w:val="000154FD"/>
    <w:rsid w:val="00016A9B"/>
    <w:rsid w:val="00017ED4"/>
    <w:rsid w:val="00020BC6"/>
    <w:rsid w:val="00021296"/>
    <w:rsid w:val="00023692"/>
    <w:rsid w:val="000237C7"/>
    <w:rsid w:val="00023E9E"/>
    <w:rsid w:val="00023EAD"/>
    <w:rsid w:val="00024BC8"/>
    <w:rsid w:val="00024E2D"/>
    <w:rsid w:val="00024F58"/>
    <w:rsid w:val="000255A2"/>
    <w:rsid w:val="00026A74"/>
    <w:rsid w:val="00026AC5"/>
    <w:rsid w:val="00026EC5"/>
    <w:rsid w:val="0002726A"/>
    <w:rsid w:val="00030382"/>
    <w:rsid w:val="00032CF7"/>
    <w:rsid w:val="0003465F"/>
    <w:rsid w:val="000357C4"/>
    <w:rsid w:val="00036E02"/>
    <w:rsid w:val="00037B16"/>
    <w:rsid w:val="00040734"/>
    <w:rsid w:val="000419DC"/>
    <w:rsid w:val="000421EA"/>
    <w:rsid w:val="00043BDA"/>
    <w:rsid w:val="00043E02"/>
    <w:rsid w:val="00045393"/>
    <w:rsid w:val="00045E57"/>
    <w:rsid w:val="000463AD"/>
    <w:rsid w:val="00046861"/>
    <w:rsid w:val="0004760B"/>
    <w:rsid w:val="0004778A"/>
    <w:rsid w:val="0004787A"/>
    <w:rsid w:val="00047D17"/>
    <w:rsid w:val="00050447"/>
    <w:rsid w:val="00051162"/>
    <w:rsid w:val="00051358"/>
    <w:rsid w:val="0005244F"/>
    <w:rsid w:val="00055E4B"/>
    <w:rsid w:val="00060826"/>
    <w:rsid w:val="000642C5"/>
    <w:rsid w:val="00066807"/>
    <w:rsid w:val="00066C7E"/>
    <w:rsid w:val="00070639"/>
    <w:rsid w:val="000722B9"/>
    <w:rsid w:val="000726D5"/>
    <w:rsid w:val="00075F59"/>
    <w:rsid w:val="000837B3"/>
    <w:rsid w:val="00084B7D"/>
    <w:rsid w:val="000852FB"/>
    <w:rsid w:val="00085C13"/>
    <w:rsid w:val="00085DE2"/>
    <w:rsid w:val="00086445"/>
    <w:rsid w:val="00086E2E"/>
    <w:rsid w:val="000903CE"/>
    <w:rsid w:val="00091D2E"/>
    <w:rsid w:val="00093A1C"/>
    <w:rsid w:val="00095AA6"/>
    <w:rsid w:val="0009622F"/>
    <w:rsid w:val="00096EE6"/>
    <w:rsid w:val="000A0250"/>
    <w:rsid w:val="000A125E"/>
    <w:rsid w:val="000A1AC5"/>
    <w:rsid w:val="000A29BF"/>
    <w:rsid w:val="000A3956"/>
    <w:rsid w:val="000A47EF"/>
    <w:rsid w:val="000A56D9"/>
    <w:rsid w:val="000A5D56"/>
    <w:rsid w:val="000A6D68"/>
    <w:rsid w:val="000A704A"/>
    <w:rsid w:val="000A7749"/>
    <w:rsid w:val="000A7C13"/>
    <w:rsid w:val="000B0AE1"/>
    <w:rsid w:val="000B0D45"/>
    <w:rsid w:val="000B1F6C"/>
    <w:rsid w:val="000B24E9"/>
    <w:rsid w:val="000B26CC"/>
    <w:rsid w:val="000B3FDA"/>
    <w:rsid w:val="000B4215"/>
    <w:rsid w:val="000B45F7"/>
    <w:rsid w:val="000B6763"/>
    <w:rsid w:val="000B75A4"/>
    <w:rsid w:val="000C125A"/>
    <w:rsid w:val="000C2945"/>
    <w:rsid w:val="000C44E4"/>
    <w:rsid w:val="000C44EE"/>
    <w:rsid w:val="000C46F8"/>
    <w:rsid w:val="000C4E17"/>
    <w:rsid w:val="000C5DE4"/>
    <w:rsid w:val="000C629B"/>
    <w:rsid w:val="000C63D8"/>
    <w:rsid w:val="000C69F3"/>
    <w:rsid w:val="000C717F"/>
    <w:rsid w:val="000C7918"/>
    <w:rsid w:val="000C7E06"/>
    <w:rsid w:val="000D1A5C"/>
    <w:rsid w:val="000D1B19"/>
    <w:rsid w:val="000D420B"/>
    <w:rsid w:val="000D424D"/>
    <w:rsid w:val="000D4313"/>
    <w:rsid w:val="000D4E6D"/>
    <w:rsid w:val="000D55D3"/>
    <w:rsid w:val="000D6699"/>
    <w:rsid w:val="000D73F0"/>
    <w:rsid w:val="000E289E"/>
    <w:rsid w:val="000E3B89"/>
    <w:rsid w:val="000E4986"/>
    <w:rsid w:val="000E54E7"/>
    <w:rsid w:val="000E574E"/>
    <w:rsid w:val="000E6725"/>
    <w:rsid w:val="000E75B9"/>
    <w:rsid w:val="000E7C44"/>
    <w:rsid w:val="000F1AD7"/>
    <w:rsid w:val="000F3037"/>
    <w:rsid w:val="000F47EC"/>
    <w:rsid w:val="000F5001"/>
    <w:rsid w:val="000F60AA"/>
    <w:rsid w:val="000F6286"/>
    <w:rsid w:val="000F67E0"/>
    <w:rsid w:val="000F6CAB"/>
    <w:rsid w:val="000F70E2"/>
    <w:rsid w:val="000F7D10"/>
    <w:rsid w:val="00100567"/>
    <w:rsid w:val="00100B9D"/>
    <w:rsid w:val="00102429"/>
    <w:rsid w:val="001042AA"/>
    <w:rsid w:val="001047E7"/>
    <w:rsid w:val="001049A4"/>
    <w:rsid w:val="00105199"/>
    <w:rsid w:val="00105488"/>
    <w:rsid w:val="00105912"/>
    <w:rsid w:val="00105AD7"/>
    <w:rsid w:val="00105E64"/>
    <w:rsid w:val="00107A77"/>
    <w:rsid w:val="00107D39"/>
    <w:rsid w:val="00112D67"/>
    <w:rsid w:val="00113382"/>
    <w:rsid w:val="00115A37"/>
    <w:rsid w:val="0011623F"/>
    <w:rsid w:val="001177FD"/>
    <w:rsid w:val="001207BC"/>
    <w:rsid w:val="00121337"/>
    <w:rsid w:val="00121D78"/>
    <w:rsid w:val="00122157"/>
    <w:rsid w:val="00123D46"/>
    <w:rsid w:val="00123FB3"/>
    <w:rsid w:val="001254C3"/>
    <w:rsid w:val="00126CDC"/>
    <w:rsid w:val="00132018"/>
    <w:rsid w:val="001330D1"/>
    <w:rsid w:val="001339CA"/>
    <w:rsid w:val="00133F88"/>
    <w:rsid w:val="001366DD"/>
    <w:rsid w:val="0013727D"/>
    <w:rsid w:val="00137715"/>
    <w:rsid w:val="00137886"/>
    <w:rsid w:val="00140670"/>
    <w:rsid w:val="001409AD"/>
    <w:rsid w:val="00140AF2"/>
    <w:rsid w:val="00140DD3"/>
    <w:rsid w:val="001420B1"/>
    <w:rsid w:val="001426CF"/>
    <w:rsid w:val="00143990"/>
    <w:rsid w:val="001441B0"/>
    <w:rsid w:val="001453A4"/>
    <w:rsid w:val="00146D47"/>
    <w:rsid w:val="001479C5"/>
    <w:rsid w:val="00147F36"/>
    <w:rsid w:val="001502C6"/>
    <w:rsid w:val="00153A3A"/>
    <w:rsid w:val="00154887"/>
    <w:rsid w:val="00155B38"/>
    <w:rsid w:val="0016030E"/>
    <w:rsid w:val="00160A5C"/>
    <w:rsid w:val="0016157A"/>
    <w:rsid w:val="00162682"/>
    <w:rsid w:val="00162BE6"/>
    <w:rsid w:val="00163609"/>
    <w:rsid w:val="00166A6C"/>
    <w:rsid w:val="00171F29"/>
    <w:rsid w:val="001729C3"/>
    <w:rsid w:val="00173561"/>
    <w:rsid w:val="0017622F"/>
    <w:rsid w:val="00177808"/>
    <w:rsid w:val="001813EF"/>
    <w:rsid w:val="0018150A"/>
    <w:rsid w:val="00181C75"/>
    <w:rsid w:val="0018217B"/>
    <w:rsid w:val="00182B7F"/>
    <w:rsid w:val="00184D7B"/>
    <w:rsid w:val="00185235"/>
    <w:rsid w:val="00186079"/>
    <w:rsid w:val="00186D02"/>
    <w:rsid w:val="00187579"/>
    <w:rsid w:val="00190F46"/>
    <w:rsid w:val="001916EE"/>
    <w:rsid w:val="00193EEC"/>
    <w:rsid w:val="001949FE"/>
    <w:rsid w:val="00195A9A"/>
    <w:rsid w:val="00197119"/>
    <w:rsid w:val="001976CB"/>
    <w:rsid w:val="001977DC"/>
    <w:rsid w:val="001A04A3"/>
    <w:rsid w:val="001A1142"/>
    <w:rsid w:val="001A2ED0"/>
    <w:rsid w:val="001A30A0"/>
    <w:rsid w:val="001A33DA"/>
    <w:rsid w:val="001A46B0"/>
    <w:rsid w:val="001A5FFA"/>
    <w:rsid w:val="001A60DB"/>
    <w:rsid w:val="001A7567"/>
    <w:rsid w:val="001A7CAD"/>
    <w:rsid w:val="001B3464"/>
    <w:rsid w:val="001B6031"/>
    <w:rsid w:val="001B665C"/>
    <w:rsid w:val="001B7688"/>
    <w:rsid w:val="001C055B"/>
    <w:rsid w:val="001C25AA"/>
    <w:rsid w:val="001C2C27"/>
    <w:rsid w:val="001C3D3A"/>
    <w:rsid w:val="001C5F18"/>
    <w:rsid w:val="001C61CB"/>
    <w:rsid w:val="001D0006"/>
    <w:rsid w:val="001D0524"/>
    <w:rsid w:val="001D1BA3"/>
    <w:rsid w:val="001D394B"/>
    <w:rsid w:val="001D5959"/>
    <w:rsid w:val="001D762D"/>
    <w:rsid w:val="001D78EA"/>
    <w:rsid w:val="001E05C3"/>
    <w:rsid w:val="001E0AED"/>
    <w:rsid w:val="001E0B28"/>
    <w:rsid w:val="001E10A2"/>
    <w:rsid w:val="001E14C9"/>
    <w:rsid w:val="001E2843"/>
    <w:rsid w:val="001E2BD4"/>
    <w:rsid w:val="001E3A66"/>
    <w:rsid w:val="001E3DE8"/>
    <w:rsid w:val="001E42EE"/>
    <w:rsid w:val="001E58F2"/>
    <w:rsid w:val="001E5F6D"/>
    <w:rsid w:val="001E634B"/>
    <w:rsid w:val="001E6370"/>
    <w:rsid w:val="001E6E50"/>
    <w:rsid w:val="001F0E84"/>
    <w:rsid w:val="001F190A"/>
    <w:rsid w:val="001F1AB6"/>
    <w:rsid w:val="001F2541"/>
    <w:rsid w:val="001F4A68"/>
    <w:rsid w:val="001F55F3"/>
    <w:rsid w:val="001F564B"/>
    <w:rsid w:val="001F5767"/>
    <w:rsid w:val="001F588F"/>
    <w:rsid w:val="001F6B70"/>
    <w:rsid w:val="00202303"/>
    <w:rsid w:val="00204722"/>
    <w:rsid w:val="002056E9"/>
    <w:rsid w:val="00205B35"/>
    <w:rsid w:val="00207B48"/>
    <w:rsid w:val="00207E85"/>
    <w:rsid w:val="002115D1"/>
    <w:rsid w:val="00211640"/>
    <w:rsid w:val="00211834"/>
    <w:rsid w:val="00212E5B"/>
    <w:rsid w:val="00212ED0"/>
    <w:rsid w:val="0021778C"/>
    <w:rsid w:val="00217827"/>
    <w:rsid w:val="00217B62"/>
    <w:rsid w:val="00220DFC"/>
    <w:rsid w:val="0022265F"/>
    <w:rsid w:val="00224BD5"/>
    <w:rsid w:val="00225E04"/>
    <w:rsid w:val="00226E67"/>
    <w:rsid w:val="0022725D"/>
    <w:rsid w:val="0023044C"/>
    <w:rsid w:val="00230E2E"/>
    <w:rsid w:val="0023104C"/>
    <w:rsid w:val="0023416A"/>
    <w:rsid w:val="00237182"/>
    <w:rsid w:val="00241B75"/>
    <w:rsid w:val="00241C98"/>
    <w:rsid w:val="00242CFB"/>
    <w:rsid w:val="00243737"/>
    <w:rsid w:val="00244619"/>
    <w:rsid w:val="00244E57"/>
    <w:rsid w:val="00245F04"/>
    <w:rsid w:val="002460F3"/>
    <w:rsid w:val="0024616E"/>
    <w:rsid w:val="00247008"/>
    <w:rsid w:val="00250872"/>
    <w:rsid w:val="0025092A"/>
    <w:rsid w:val="002513AB"/>
    <w:rsid w:val="00252207"/>
    <w:rsid w:val="00254C36"/>
    <w:rsid w:val="00255A8D"/>
    <w:rsid w:val="00261FEF"/>
    <w:rsid w:val="00262288"/>
    <w:rsid w:val="0026269E"/>
    <w:rsid w:val="002629F4"/>
    <w:rsid w:val="002655C7"/>
    <w:rsid w:val="00267FAE"/>
    <w:rsid w:val="00270806"/>
    <w:rsid w:val="00274ABC"/>
    <w:rsid w:val="0027547C"/>
    <w:rsid w:val="00275A7D"/>
    <w:rsid w:val="0027735D"/>
    <w:rsid w:val="00277509"/>
    <w:rsid w:val="00280E4F"/>
    <w:rsid w:val="00280EB6"/>
    <w:rsid w:val="00284BF0"/>
    <w:rsid w:val="002905D0"/>
    <w:rsid w:val="00290F95"/>
    <w:rsid w:val="002954BA"/>
    <w:rsid w:val="00295533"/>
    <w:rsid w:val="002965B7"/>
    <w:rsid w:val="00296832"/>
    <w:rsid w:val="00296DE9"/>
    <w:rsid w:val="002A1C64"/>
    <w:rsid w:val="002A23EE"/>
    <w:rsid w:val="002A2AAC"/>
    <w:rsid w:val="002A374E"/>
    <w:rsid w:val="002A46F4"/>
    <w:rsid w:val="002A5000"/>
    <w:rsid w:val="002A5FE4"/>
    <w:rsid w:val="002A6A7D"/>
    <w:rsid w:val="002A7F70"/>
    <w:rsid w:val="002B0326"/>
    <w:rsid w:val="002B0A92"/>
    <w:rsid w:val="002B2BDE"/>
    <w:rsid w:val="002B2D30"/>
    <w:rsid w:val="002B3EA0"/>
    <w:rsid w:val="002B44CF"/>
    <w:rsid w:val="002B48C5"/>
    <w:rsid w:val="002B59F3"/>
    <w:rsid w:val="002B5D6D"/>
    <w:rsid w:val="002B71C4"/>
    <w:rsid w:val="002C0B5D"/>
    <w:rsid w:val="002C1A59"/>
    <w:rsid w:val="002C231B"/>
    <w:rsid w:val="002C2799"/>
    <w:rsid w:val="002C2C0C"/>
    <w:rsid w:val="002C3537"/>
    <w:rsid w:val="002C3584"/>
    <w:rsid w:val="002C4200"/>
    <w:rsid w:val="002C45B1"/>
    <w:rsid w:val="002C5495"/>
    <w:rsid w:val="002C7077"/>
    <w:rsid w:val="002D14EF"/>
    <w:rsid w:val="002D4A59"/>
    <w:rsid w:val="002D527E"/>
    <w:rsid w:val="002D60FF"/>
    <w:rsid w:val="002D6807"/>
    <w:rsid w:val="002D687B"/>
    <w:rsid w:val="002E0A6C"/>
    <w:rsid w:val="002E13CC"/>
    <w:rsid w:val="002E1427"/>
    <w:rsid w:val="002E33BF"/>
    <w:rsid w:val="002E57C1"/>
    <w:rsid w:val="002E5AFD"/>
    <w:rsid w:val="002E6F85"/>
    <w:rsid w:val="002E7287"/>
    <w:rsid w:val="002F30AE"/>
    <w:rsid w:val="002F327E"/>
    <w:rsid w:val="002F43EB"/>
    <w:rsid w:val="002F49A3"/>
    <w:rsid w:val="002F4FE6"/>
    <w:rsid w:val="002F55F5"/>
    <w:rsid w:val="002F6C26"/>
    <w:rsid w:val="003009B9"/>
    <w:rsid w:val="00300E7B"/>
    <w:rsid w:val="00301218"/>
    <w:rsid w:val="003013B0"/>
    <w:rsid w:val="00302789"/>
    <w:rsid w:val="0030331E"/>
    <w:rsid w:val="0030351C"/>
    <w:rsid w:val="00303F9F"/>
    <w:rsid w:val="00304EC6"/>
    <w:rsid w:val="00305566"/>
    <w:rsid w:val="003061F7"/>
    <w:rsid w:val="003074F5"/>
    <w:rsid w:val="00311F06"/>
    <w:rsid w:val="00312F51"/>
    <w:rsid w:val="003130F2"/>
    <w:rsid w:val="00313FFE"/>
    <w:rsid w:val="00315422"/>
    <w:rsid w:val="00315E78"/>
    <w:rsid w:val="003177B0"/>
    <w:rsid w:val="00320AD5"/>
    <w:rsid w:val="00320DAD"/>
    <w:rsid w:val="00320EFD"/>
    <w:rsid w:val="00321BDB"/>
    <w:rsid w:val="00321F28"/>
    <w:rsid w:val="00323573"/>
    <w:rsid w:val="00325106"/>
    <w:rsid w:val="0032527C"/>
    <w:rsid w:val="00327DDB"/>
    <w:rsid w:val="00327E2C"/>
    <w:rsid w:val="00332738"/>
    <w:rsid w:val="00332C67"/>
    <w:rsid w:val="00332CFD"/>
    <w:rsid w:val="003338BB"/>
    <w:rsid w:val="003344B7"/>
    <w:rsid w:val="003344BD"/>
    <w:rsid w:val="003350A1"/>
    <w:rsid w:val="00335459"/>
    <w:rsid w:val="00335516"/>
    <w:rsid w:val="00335A28"/>
    <w:rsid w:val="0033645E"/>
    <w:rsid w:val="00341D32"/>
    <w:rsid w:val="00341E46"/>
    <w:rsid w:val="003430FF"/>
    <w:rsid w:val="0035163D"/>
    <w:rsid w:val="003520B1"/>
    <w:rsid w:val="003525C7"/>
    <w:rsid w:val="00352AF5"/>
    <w:rsid w:val="0035317A"/>
    <w:rsid w:val="0035390E"/>
    <w:rsid w:val="00355374"/>
    <w:rsid w:val="003570CF"/>
    <w:rsid w:val="003573B3"/>
    <w:rsid w:val="003605F0"/>
    <w:rsid w:val="00360E0A"/>
    <w:rsid w:val="0036148F"/>
    <w:rsid w:val="00367C4B"/>
    <w:rsid w:val="00371702"/>
    <w:rsid w:val="00371BDD"/>
    <w:rsid w:val="003729F2"/>
    <w:rsid w:val="003736CC"/>
    <w:rsid w:val="00373A05"/>
    <w:rsid w:val="00373D56"/>
    <w:rsid w:val="00374304"/>
    <w:rsid w:val="00374EED"/>
    <w:rsid w:val="00376039"/>
    <w:rsid w:val="00380E93"/>
    <w:rsid w:val="003821C5"/>
    <w:rsid w:val="00383DCF"/>
    <w:rsid w:val="00384189"/>
    <w:rsid w:val="00385B4C"/>
    <w:rsid w:val="00386D33"/>
    <w:rsid w:val="00387882"/>
    <w:rsid w:val="00390872"/>
    <w:rsid w:val="00391EB8"/>
    <w:rsid w:val="003939FD"/>
    <w:rsid w:val="00394E60"/>
    <w:rsid w:val="00395448"/>
    <w:rsid w:val="003957FE"/>
    <w:rsid w:val="00395F51"/>
    <w:rsid w:val="00397D28"/>
    <w:rsid w:val="003A0E36"/>
    <w:rsid w:val="003A0E44"/>
    <w:rsid w:val="003A3E7A"/>
    <w:rsid w:val="003B0D12"/>
    <w:rsid w:val="003B1F10"/>
    <w:rsid w:val="003B403A"/>
    <w:rsid w:val="003B4504"/>
    <w:rsid w:val="003B49B8"/>
    <w:rsid w:val="003B4A0A"/>
    <w:rsid w:val="003B4CC6"/>
    <w:rsid w:val="003B594D"/>
    <w:rsid w:val="003B6749"/>
    <w:rsid w:val="003B7176"/>
    <w:rsid w:val="003B794C"/>
    <w:rsid w:val="003C2CC8"/>
    <w:rsid w:val="003C311A"/>
    <w:rsid w:val="003C37F0"/>
    <w:rsid w:val="003C5180"/>
    <w:rsid w:val="003C79AA"/>
    <w:rsid w:val="003D049E"/>
    <w:rsid w:val="003D10BB"/>
    <w:rsid w:val="003D230F"/>
    <w:rsid w:val="003D257C"/>
    <w:rsid w:val="003D2686"/>
    <w:rsid w:val="003D2D41"/>
    <w:rsid w:val="003D3263"/>
    <w:rsid w:val="003D4880"/>
    <w:rsid w:val="003D74A9"/>
    <w:rsid w:val="003E0469"/>
    <w:rsid w:val="003E1093"/>
    <w:rsid w:val="003E13CA"/>
    <w:rsid w:val="003E3B10"/>
    <w:rsid w:val="003E514A"/>
    <w:rsid w:val="003E563E"/>
    <w:rsid w:val="003E6D4B"/>
    <w:rsid w:val="003E6DC6"/>
    <w:rsid w:val="003E6E86"/>
    <w:rsid w:val="003F0775"/>
    <w:rsid w:val="003F0826"/>
    <w:rsid w:val="003F0878"/>
    <w:rsid w:val="003F157C"/>
    <w:rsid w:val="003F1A04"/>
    <w:rsid w:val="003F1AD3"/>
    <w:rsid w:val="003F2EAD"/>
    <w:rsid w:val="003F32C9"/>
    <w:rsid w:val="003F676E"/>
    <w:rsid w:val="003F6AB3"/>
    <w:rsid w:val="003F72BF"/>
    <w:rsid w:val="003F73AD"/>
    <w:rsid w:val="003F7A10"/>
    <w:rsid w:val="003F7B88"/>
    <w:rsid w:val="003F7BE3"/>
    <w:rsid w:val="003F7F35"/>
    <w:rsid w:val="00401B05"/>
    <w:rsid w:val="004032BC"/>
    <w:rsid w:val="00403F3E"/>
    <w:rsid w:val="00405E82"/>
    <w:rsid w:val="00406A53"/>
    <w:rsid w:val="004117EF"/>
    <w:rsid w:val="0041231B"/>
    <w:rsid w:val="00413C51"/>
    <w:rsid w:val="00414527"/>
    <w:rsid w:val="00414720"/>
    <w:rsid w:val="0041598A"/>
    <w:rsid w:val="00416B9E"/>
    <w:rsid w:val="00417983"/>
    <w:rsid w:val="00422536"/>
    <w:rsid w:val="00422F70"/>
    <w:rsid w:val="00423B05"/>
    <w:rsid w:val="00424BDB"/>
    <w:rsid w:val="004273C1"/>
    <w:rsid w:val="004279E6"/>
    <w:rsid w:val="00431386"/>
    <w:rsid w:val="004318AC"/>
    <w:rsid w:val="00431CD5"/>
    <w:rsid w:val="00432807"/>
    <w:rsid w:val="00433768"/>
    <w:rsid w:val="00434B9A"/>
    <w:rsid w:val="004356FB"/>
    <w:rsid w:val="00435F1E"/>
    <w:rsid w:val="00437084"/>
    <w:rsid w:val="00437D52"/>
    <w:rsid w:val="0044041B"/>
    <w:rsid w:val="00440F24"/>
    <w:rsid w:val="004421CE"/>
    <w:rsid w:val="0044252A"/>
    <w:rsid w:val="004448C8"/>
    <w:rsid w:val="00445D3E"/>
    <w:rsid w:val="004465AF"/>
    <w:rsid w:val="0044775C"/>
    <w:rsid w:val="004479D4"/>
    <w:rsid w:val="004501D7"/>
    <w:rsid w:val="00450869"/>
    <w:rsid w:val="00450E67"/>
    <w:rsid w:val="004519A5"/>
    <w:rsid w:val="004530D4"/>
    <w:rsid w:val="00453CC0"/>
    <w:rsid w:val="00453CD5"/>
    <w:rsid w:val="0045459E"/>
    <w:rsid w:val="004546C4"/>
    <w:rsid w:val="00455D42"/>
    <w:rsid w:val="0045604C"/>
    <w:rsid w:val="00456F69"/>
    <w:rsid w:val="00457696"/>
    <w:rsid w:val="00460A01"/>
    <w:rsid w:val="00461B18"/>
    <w:rsid w:val="00462BB0"/>
    <w:rsid w:val="0046463A"/>
    <w:rsid w:val="00465A07"/>
    <w:rsid w:val="004665A6"/>
    <w:rsid w:val="00466BD6"/>
    <w:rsid w:val="00466FDF"/>
    <w:rsid w:val="004677AF"/>
    <w:rsid w:val="00471646"/>
    <w:rsid w:val="00472B46"/>
    <w:rsid w:val="00472F57"/>
    <w:rsid w:val="00474EAF"/>
    <w:rsid w:val="0048243D"/>
    <w:rsid w:val="00482614"/>
    <w:rsid w:val="00482CCD"/>
    <w:rsid w:val="00486F48"/>
    <w:rsid w:val="00490339"/>
    <w:rsid w:val="00491627"/>
    <w:rsid w:val="00492E87"/>
    <w:rsid w:val="00492F1E"/>
    <w:rsid w:val="004931C0"/>
    <w:rsid w:val="0049457D"/>
    <w:rsid w:val="00494827"/>
    <w:rsid w:val="00494853"/>
    <w:rsid w:val="0049625F"/>
    <w:rsid w:val="004962CF"/>
    <w:rsid w:val="00496ECD"/>
    <w:rsid w:val="004A1DB7"/>
    <w:rsid w:val="004A34B8"/>
    <w:rsid w:val="004A55A6"/>
    <w:rsid w:val="004A58A1"/>
    <w:rsid w:val="004A6F04"/>
    <w:rsid w:val="004A7F14"/>
    <w:rsid w:val="004B286F"/>
    <w:rsid w:val="004B307B"/>
    <w:rsid w:val="004B5B6E"/>
    <w:rsid w:val="004B7103"/>
    <w:rsid w:val="004B743F"/>
    <w:rsid w:val="004C2F7D"/>
    <w:rsid w:val="004C320D"/>
    <w:rsid w:val="004C3CE7"/>
    <w:rsid w:val="004C3D37"/>
    <w:rsid w:val="004C4CAE"/>
    <w:rsid w:val="004C6B7B"/>
    <w:rsid w:val="004C6C44"/>
    <w:rsid w:val="004C7672"/>
    <w:rsid w:val="004D1C47"/>
    <w:rsid w:val="004D1CA9"/>
    <w:rsid w:val="004D2158"/>
    <w:rsid w:val="004D431B"/>
    <w:rsid w:val="004D4BC3"/>
    <w:rsid w:val="004D4F45"/>
    <w:rsid w:val="004D605C"/>
    <w:rsid w:val="004D69A6"/>
    <w:rsid w:val="004D7BD4"/>
    <w:rsid w:val="004E25D3"/>
    <w:rsid w:val="004E2B7D"/>
    <w:rsid w:val="004E3DDD"/>
    <w:rsid w:val="004E4FBF"/>
    <w:rsid w:val="004E5CDE"/>
    <w:rsid w:val="004E5DE7"/>
    <w:rsid w:val="004E5E11"/>
    <w:rsid w:val="004F0093"/>
    <w:rsid w:val="004F12AF"/>
    <w:rsid w:val="004F1E3B"/>
    <w:rsid w:val="004F2D04"/>
    <w:rsid w:val="004F4910"/>
    <w:rsid w:val="004F51F8"/>
    <w:rsid w:val="004F52F1"/>
    <w:rsid w:val="0050150B"/>
    <w:rsid w:val="00504266"/>
    <w:rsid w:val="00504916"/>
    <w:rsid w:val="0050720E"/>
    <w:rsid w:val="00512331"/>
    <w:rsid w:val="0051349A"/>
    <w:rsid w:val="00513628"/>
    <w:rsid w:val="0051362A"/>
    <w:rsid w:val="00513FDD"/>
    <w:rsid w:val="00514AF1"/>
    <w:rsid w:val="00514FFE"/>
    <w:rsid w:val="00515B73"/>
    <w:rsid w:val="00520649"/>
    <w:rsid w:val="005206DD"/>
    <w:rsid w:val="00524968"/>
    <w:rsid w:val="005263DE"/>
    <w:rsid w:val="00526493"/>
    <w:rsid w:val="00526A46"/>
    <w:rsid w:val="00526FBD"/>
    <w:rsid w:val="00527E09"/>
    <w:rsid w:val="005307BB"/>
    <w:rsid w:val="00530E39"/>
    <w:rsid w:val="00530FED"/>
    <w:rsid w:val="00531B27"/>
    <w:rsid w:val="00532C6D"/>
    <w:rsid w:val="0053490F"/>
    <w:rsid w:val="00534DFB"/>
    <w:rsid w:val="0053552E"/>
    <w:rsid w:val="00536002"/>
    <w:rsid w:val="0053796B"/>
    <w:rsid w:val="00540366"/>
    <w:rsid w:val="005414CE"/>
    <w:rsid w:val="005428F9"/>
    <w:rsid w:val="00547117"/>
    <w:rsid w:val="0055074F"/>
    <w:rsid w:val="005515A3"/>
    <w:rsid w:val="005516FD"/>
    <w:rsid w:val="00555BB7"/>
    <w:rsid w:val="00555CF5"/>
    <w:rsid w:val="00556FD2"/>
    <w:rsid w:val="00557257"/>
    <w:rsid w:val="005577BD"/>
    <w:rsid w:val="00557D92"/>
    <w:rsid w:val="00560067"/>
    <w:rsid w:val="0056093A"/>
    <w:rsid w:val="00561A1A"/>
    <w:rsid w:val="00561B90"/>
    <w:rsid w:val="00561FAD"/>
    <w:rsid w:val="00561FD2"/>
    <w:rsid w:val="005622E1"/>
    <w:rsid w:val="00562797"/>
    <w:rsid w:val="0056348A"/>
    <w:rsid w:val="00564A7F"/>
    <w:rsid w:val="00564E9C"/>
    <w:rsid w:val="0056508A"/>
    <w:rsid w:val="005654FC"/>
    <w:rsid w:val="005657B8"/>
    <w:rsid w:val="005663EE"/>
    <w:rsid w:val="00566544"/>
    <w:rsid w:val="00566B7F"/>
    <w:rsid w:val="00566C61"/>
    <w:rsid w:val="005676BA"/>
    <w:rsid w:val="00572833"/>
    <w:rsid w:val="00572EBB"/>
    <w:rsid w:val="00573205"/>
    <w:rsid w:val="00573A6A"/>
    <w:rsid w:val="00573EC1"/>
    <w:rsid w:val="005742F1"/>
    <w:rsid w:val="005744BB"/>
    <w:rsid w:val="005747E4"/>
    <w:rsid w:val="00574C3C"/>
    <w:rsid w:val="005754F2"/>
    <w:rsid w:val="00575A66"/>
    <w:rsid w:val="00575DF1"/>
    <w:rsid w:val="00576D24"/>
    <w:rsid w:val="005779F3"/>
    <w:rsid w:val="00581079"/>
    <w:rsid w:val="005810CE"/>
    <w:rsid w:val="00581E50"/>
    <w:rsid w:val="00583EE7"/>
    <w:rsid w:val="0058514A"/>
    <w:rsid w:val="0058639F"/>
    <w:rsid w:val="005873A0"/>
    <w:rsid w:val="00587D18"/>
    <w:rsid w:val="00590265"/>
    <w:rsid w:val="0059229A"/>
    <w:rsid w:val="00593FB1"/>
    <w:rsid w:val="00593FD5"/>
    <w:rsid w:val="00594007"/>
    <w:rsid w:val="005942A6"/>
    <w:rsid w:val="0059463F"/>
    <w:rsid w:val="00594C04"/>
    <w:rsid w:val="00594FE7"/>
    <w:rsid w:val="00595002"/>
    <w:rsid w:val="00595683"/>
    <w:rsid w:val="005962E0"/>
    <w:rsid w:val="005A0065"/>
    <w:rsid w:val="005A0D40"/>
    <w:rsid w:val="005A10E6"/>
    <w:rsid w:val="005A5448"/>
    <w:rsid w:val="005A5CC4"/>
    <w:rsid w:val="005A6267"/>
    <w:rsid w:val="005B120A"/>
    <w:rsid w:val="005B1347"/>
    <w:rsid w:val="005B4403"/>
    <w:rsid w:val="005B4D2E"/>
    <w:rsid w:val="005B55E9"/>
    <w:rsid w:val="005B5D32"/>
    <w:rsid w:val="005B68C3"/>
    <w:rsid w:val="005C03A2"/>
    <w:rsid w:val="005C0AD9"/>
    <w:rsid w:val="005C141A"/>
    <w:rsid w:val="005C1770"/>
    <w:rsid w:val="005C1B01"/>
    <w:rsid w:val="005C56EE"/>
    <w:rsid w:val="005C57B4"/>
    <w:rsid w:val="005C7A4B"/>
    <w:rsid w:val="005D28B8"/>
    <w:rsid w:val="005D2922"/>
    <w:rsid w:val="005D4047"/>
    <w:rsid w:val="005D5B6B"/>
    <w:rsid w:val="005D67C6"/>
    <w:rsid w:val="005D7B15"/>
    <w:rsid w:val="005D7B9A"/>
    <w:rsid w:val="005E002C"/>
    <w:rsid w:val="005E13A2"/>
    <w:rsid w:val="005E1FF0"/>
    <w:rsid w:val="005E2207"/>
    <w:rsid w:val="005E2F50"/>
    <w:rsid w:val="005E348B"/>
    <w:rsid w:val="005E4A16"/>
    <w:rsid w:val="005E55EF"/>
    <w:rsid w:val="005E5E26"/>
    <w:rsid w:val="005E7AD7"/>
    <w:rsid w:val="005F00EA"/>
    <w:rsid w:val="005F01EE"/>
    <w:rsid w:val="005F0D3E"/>
    <w:rsid w:val="005F10BB"/>
    <w:rsid w:val="005F3315"/>
    <w:rsid w:val="005F3734"/>
    <w:rsid w:val="005F5597"/>
    <w:rsid w:val="005F66D5"/>
    <w:rsid w:val="006009E9"/>
    <w:rsid w:val="006016F6"/>
    <w:rsid w:val="00604CF7"/>
    <w:rsid w:val="00605009"/>
    <w:rsid w:val="006069A3"/>
    <w:rsid w:val="0060716A"/>
    <w:rsid w:val="0060753A"/>
    <w:rsid w:val="00610CC1"/>
    <w:rsid w:val="00611D6F"/>
    <w:rsid w:val="00616BEB"/>
    <w:rsid w:val="0061748D"/>
    <w:rsid w:val="00620B0B"/>
    <w:rsid w:val="00623380"/>
    <w:rsid w:val="00624E29"/>
    <w:rsid w:val="0062541F"/>
    <w:rsid w:val="006256F2"/>
    <w:rsid w:val="0062576A"/>
    <w:rsid w:val="00627A15"/>
    <w:rsid w:val="00630812"/>
    <w:rsid w:val="00630A6F"/>
    <w:rsid w:val="0063408B"/>
    <w:rsid w:val="006363E1"/>
    <w:rsid w:val="00636551"/>
    <w:rsid w:val="006368F7"/>
    <w:rsid w:val="00640849"/>
    <w:rsid w:val="00643B34"/>
    <w:rsid w:val="0064638A"/>
    <w:rsid w:val="006468BC"/>
    <w:rsid w:val="00646B4D"/>
    <w:rsid w:val="00650F9E"/>
    <w:rsid w:val="006520F0"/>
    <w:rsid w:val="00653056"/>
    <w:rsid w:val="0065314C"/>
    <w:rsid w:val="00653A92"/>
    <w:rsid w:val="00653EAD"/>
    <w:rsid w:val="006553C3"/>
    <w:rsid w:val="00656137"/>
    <w:rsid w:val="00656C81"/>
    <w:rsid w:val="00661A35"/>
    <w:rsid w:val="00670172"/>
    <w:rsid w:val="00670BB8"/>
    <w:rsid w:val="006711D6"/>
    <w:rsid w:val="006717B6"/>
    <w:rsid w:val="00671E0A"/>
    <w:rsid w:val="006757FF"/>
    <w:rsid w:val="00681702"/>
    <w:rsid w:val="00683EFB"/>
    <w:rsid w:val="006840A0"/>
    <w:rsid w:val="0068413D"/>
    <w:rsid w:val="00684431"/>
    <w:rsid w:val="00685623"/>
    <w:rsid w:val="006859A5"/>
    <w:rsid w:val="0068603C"/>
    <w:rsid w:val="00686900"/>
    <w:rsid w:val="00687ED7"/>
    <w:rsid w:val="00690B38"/>
    <w:rsid w:val="00690D2B"/>
    <w:rsid w:val="00693E53"/>
    <w:rsid w:val="00694519"/>
    <w:rsid w:val="00695246"/>
    <w:rsid w:val="006966C4"/>
    <w:rsid w:val="0069690C"/>
    <w:rsid w:val="00697383"/>
    <w:rsid w:val="006978B9"/>
    <w:rsid w:val="00697BFB"/>
    <w:rsid w:val="00697DE2"/>
    <w:rsid w:val="006A136F"/>
    <w:rsid w:val="006A36C8"/>
    <w:rsid w:val="006A5F3C"/>
    <w:rsid w:val="006A6270"/>
    <w:rsid w:val="006A76CA"/>
    <w:rsid w:val="006B0BF6"/>
    <w:rsid w:val="006B654F"/>
    <w:rsid w:val="006B65CB"/>
    <w:rsid w:val="006B69B9"/>
    <w:rsid w:val="006C15B9"/>
    <w:rsid w:val="006C3308"/>
    <w:rsid w:val="006C450A"/>
    <w:rsid w:val="006C4946"/>
    <w:rsid w:val="006C5E10"/>
    <w:rsid w:val="006C6582"/>
    <w:rsid w:val="006C77A4"/>
    <w:rsid w:val="006D1859"/>
    <w:rsid w:val="006D18E8"/>
    <w:rsid w:val="006D3D83"/>
    <w:rsid w:val="006D5232"/>
    <w:rsid w:val="006D6065"/>
    <w:rsid w:val="006D69DB"/>
    <w:rsid w:val="006E0E8E"/>
    <w:rsid w:val="006E3D06"/>
    <w:rsid w:val="006E5182"/>
    <w:rsid w:val="006E5F0F"/>
    <w:rsid w:val="006F11FD"/>
    <w:rsid w:val="006F17F8"/>
    <w:rsid w:val="006F295F"/>
    <w:rsid w:val="006F4829"/>
    <w:rsid w:val="006F4D80"/>
    <w:rsid w:val="006F5F6D"/>
    <w:rsid w:val="006F6C48"/>
    <w:rsid w:val="006F6F4B"/>
    <w:rsid w:val="006F7310"/>
    <w:rsid w:val="006F7905"/>
    <w:rsid w:val="007013D1"/>
    <w:rsid w:val="0070168B"/>
    <w:rsid w:val="007029F6"/>
    <w:rsid w:val="00703206"/>
    <w:rsid w:val="007033D5"/>
    <w:rsid w:val="00704622"/>
    <w:rsid w:val="007069C0"/>
    <w:rsid w:val="00711C76"/>
    <w:rsid w:val="007127D9"/>
    <w:rsid w:val="0071477B"/>
    <w:rsid w:val="00716999"/>
    <w:rsid w:val="00716EC0"/>
    <w:rsid w:val="00721E26"/>
    <w:rsid w:val="007226C6"/>
    <w:rsid w:val="00722F05"/>
    <w:rsid w:val="0072408A"/>
    <w:rsid w:val="007246A0"/>
    <w:rsid w:val="007273F6"/>
    <w:rsid w:val="00727D29"/>
    <w:rsid w:val="00731330"/>
    <w:rsid w:val="00732CD8"/>
    <w:rsid w:val="007351DF"/>
    <w:rsid w:val="007364D1"/>
    <w:rsid w:val="00736D37"/>
    <w:rsid w:val="00736F57"/>
    <w:rsid w:val="0073772E"/>
    <w:rsid w:val="007408F3"/>
    <w:rsid w:val="007417C2"/>
    <w:rsid w:val="00741B5F"/>
    <w:rsid w:val="00743BAE"/>
    <w:rsid w:val="00745762"/>
    <w:rsid w:val="00745969"/>
    <w:rsid w:val="00745B5F"/>
    <w:rsid w:val="0074638A"/>
    <w:rsid w:val="00747DB9"/>
    <w:rsid w:val="00751E5D"/>
    <w:rsid w:val="00751F39"/>
    <w:rsid w:val="00752559"/>
    <w:rsid w:val="00753134"/>
    <w:rsid w:val="0075315E"/>
    <w:rsid w:val="00753CC0"/>
    <w:rsid w:val="00754D80"/>
    <w:rsid w:val="00757334"/>
    <w:rsid w:val="00763886"/>
    <w:rsid w:val="00764F79"/>
    <w:rsid w:val="007666FA"/>
    <w:rsid w:val="007669F0"/>
    <w:rsid w:val="00767922"/>
    <w:rsid w:val="00770D17"/>
    <w:rsid w:val="00771624"/>
    <w:rsid w:val="00771BB6"/>
    <w:rsid w:val="00772482"/>
    <w:rsid w:val="0077260D"/>
    <w:rsid w:val="00774FB3"/>
    <w:rsid w:val="00775B03"/>
    <w:rsid w:val="00775C7A"/>
    <w:rsid w:val="00775F4D"/>
    <w:rsid w:val="007763FB"/>
    <w:rsid w:val="00784D92"/>
    <w:rsid w:val="007852F5"/>
    <w:rsid w:val="00785846"/>
    <w:rsid w:val="00787BDA"/>
    <w:rsid w:val="00791861"/>
    <w:rsid w:val="00791B41"/>
    <w:rsid w:val="0079296D"/>
    <w:rsid w:val="00793833"/>
    <w:rsid w:val="00794BA6"/>
    <w:rsid w:val="00795C32"/>
    <w:rsid w:val="00797BF5"/>
    <w:rsid w:val="007A36AB"/>
    <w:rsid w:val="007A3E7F"/>
    <w:rsid w:val="007A4A7E"/>
    <w:rsid w:val="007A51FC"/>
    <w:rsid w:val="007A56A9"/>
    <w:rsid w:val="007A5BBC"/>
    <w:rsid w:val="007A75CA"/>
    <w:rsid w:val="007A79F4"/>
    <w:rsid w:val="007A7B8F"/>
    <w:rsid w:val="007B020E"/>
    <w:rsid w:val="007B071C"/>
    <w:rsid w:val="007B1A9D"/>
    <w:rsid w:val="007B4286"/>
    <w:rsid w:val="007B4B46"/>
    <w:rsid w:val="007B5B1B"/>
    <w:rsid w:val="007B6779"/>
    <w:rsid w:val="007B734A"/>
    <w:rsid w:val="007C31BE"/>
    <w:rsid w:val="007C4B3C"/>
    <w:rsid w:val="007C4BB8"/>
    <w:rsid w:val="007C5542"/>
    <w:rsid w:val="007C5664"/>
    <w:rsid w:val="007C5BA4"/>
    <w:rsid w:val="007C6073"/>
    <w:rsid w:val="007C79F6"/>
    <w:rsid w:val="007C7C9B"/>
    <w:rsid w:val="007C7DCD"/>
    <w:rsid w:val="007D1949"/>
    <w:rsid w:val="007D2B5B"/>
    <w:rsid w:val="007E1217"/>
    <w:rsid w:val="007E1A9D"/>
    <w:rsid w:val="007E1B01"/>
    <w:rsid w:val="007E53D8"/>
    <w:rsid w:val="007E6F37"/>
    <w:rsid w:val="007E7580"/>
    <w:rsid w:val="007E7690"/>
    <w:rsid w:val="007E7FBD"/>
    <w:rsid w:val="007F01DD"/>
    <w:rsid w:val="007F0EDF"/>
    <w:rsid w:val="007F20D7"/>
    <w:rsid w:val="007F23DC"/>
    <w:rsid w:val="007F2D30"/>
    <w:rsid w:val="007F3388"/>
    <w:rsid w:val="007F69E7"/>
    <w:rsid w:val="007F6AE3"/>
    <w:rsid w:val="007F7220"/>
    <w:rsid w:val="007F7A71"/>
    <w:rsid w:val="007F7B66"/>
    <w:rsid w:val="00801170"/>
    <w:rsid w:val="008011EF"/>
    <w:rsid w:val="008024C9"/>
    <w:rsid w:val="00802743"/>
    <w:rsid w:val="00805431"/>
    <w:rsid w:val="00805684"/>
    <w:rsid w:val="00805B20"/>
    <w:rsid w:val="00806507"/>
    <w:rsid w:val="00806B43"/>
    <w:rsid w:val="008079D9"/>
    <w:rsid w:val="0081065C"/>
    <w:rsid w:val="00810A4C"/>
    <w:rsid w:val="0081126B"/>
    <w:rsid w:val="00811A09"/>
    <w:rsid w:val="00813101"/>
    <w:rsid w:val="008176A8"/>
    <w:rsid w:val="00817ECD"/>
    <w:rsid w:val="00821081"/>
    <w:rsid w:val="00821128"/>
    <w:rsid w:val="00822D6A"/>
    <w:rsid w:val="00822DAB"/>
    <w:rsid w:val="00827746"/>
    <w:rsid w:val="00830A16"/>
    <w:rsid w:val="00831D78"/>
    <w:rsid w:val="00831F03"/>
    <w:rsid w:val="008360BD"/>
    <w:rsid w:val="008376D5"/>
    <w:rsid w:val="00840302"/>
    <w:rsid w:val="0084081A"/>
    <w:rsid w:val="00841CD2"/>
    <w:rsid w:val="00841DED"/>
    <w:rsid w:val="00844467"/>
    <w:rsid w:val="0084511E"/>
    <w:rsid w:val="0085066D"/>
    <w:rsid w:val="00850C43"/>
    <w:rsid w:val="00850E99"/>
    <w:rsid w:val="00854D32"/>
    <w:rsid w:val="00854D5C"/>
    <w:rsid w:val="008562BF"/>
    <w:rsid w:val="00857A48"/>
    <w:rsid w:val="00857CFB"/>
    <w:rsid w:val="008601D8"/>
    <w:rsid w:val="008605BB"/>
    <w:rsid w:val="00860F9F"/>
    <w:rsid w:val="00861895"/>
    <w:rsid w:val="00862B85"/>
    <w:rsid w:val="00863DF1"/>
    <w:rsid w:val="008640DE"/>
    <w:rsid w:val="00866959"/>
    <w:rsid w:val="00867E81"/>
    <w:rsid w:val="00870E83"/>
    <w:rsid w:val="00871994"/>
    <w:rsid w:val="008729FB"/>
    <w:rsid w:val="008733BF"/>
    <w:rsid w:val="0087705E"/>
    <w:rsid w:val="008776B1"/>
    <w:rsid w:val="00881D54"/>
    <w:rsid w:val="008828D9"/>
    <w:rsid w:val="008836C8"/>
    <w:rsid w:val="008839BE"/>
    <w:rsid w:val="00884411"/>
    <w:rsid w:val="00884F65"/>
    <w:rsid w:val="00885F72"/>
    <w:rsid w:val="008904B8"/>
    <w:rsid w:val="00890E28"/>
    <w:rsid w:val="00890F2C"/>
    <w:rsid w:val="0089121C"/>
    <w:rsid w:val="0089139A"/>
    <w:rsid w:val="00891865"/>
    <w:rsid w:val="00893B26"/>
    <w:rsid w:val="00893DCB"/>
    <w:rsid w:val="00895D14"/>
    <w:rsid w:val="00895EC0"/>
    <w:rsid w:val="00896437"/>
    <w:rsid w:val="00896A18"/>
    <w:rsid w:val="008A0F37"/>
    <w:rsid w:val="008A1BB6"/>
    <w:rsid w:val="008A1DDA"/>
    <w:rsid w:val="008A3B8A"/>
    <w:rsid w:val="008A5432"/>
    <w:rsid w:val="008A54ED"/>
    <w:rsid w:val="008A5763"/>
    <w:rsid w:val="008A6F69"/>
    <w:rsid w:val="008A7806"/>
    <w:rsid w:val="008A7E69"/>
    <w:rsid w:val="008A7FDE"/>
    <w:rsid w:val="008B352E"/>
    <w:rsid w:val="008B66C0"/>
    <w:rsid w:val="008B7AD8"/>
    <w:rsid w:val="008C4564"/>
    <w:rsid w:val="008C68D3"/>
    <w:rsid w:val="008C71AF"/>
    <w:rsid w:val="008D0542"/>
    <w:rsid w:val="008D1C94"/>
    <w:rsid w:val="008D233B"/>
    <w:rsid w:val="008D28A4"/>
    <w:rsid w:val="008D6597"/>
    <w:rsid w:val="008D68CC"/>
    <w:rsid w:val="008D6D61"/>
    <w:rsid w:val="008D713A"/>
    <w:rsid w:val="008D7728"/>
    <w:rsid w:val="008D7C63"/>
    <w:rsid w:val="008E05AF"/>
    <w:rsid w:val="008E0C42"/>
    <w:rsid w:val="008E12D2"/>
    <w:rsid w:val="008E4876"/>
    <w:rsid w:val="008E669B"/>
    <w:rsid w:val="008E7182"/>
    <w:rsid w:val="008F08E1"/>
    <w:rsid w:val="008F0EE5"/>
    <w:rsid w:val="008F1391"/>
    <w:rsid w:val="008F14AE"/>
    <w:rsid w:val="008F32FF"/>
    <w:rsid w:val="008F3683"/>
    <w:rsid w:val="008F4CC2"/>
    <w:rsid w:val="008F6148"/>
    <w:rsid w:val="008F6420"/>
    <w:rsid w:val="008F6468"/>
    <w:rsid w:val="008F6A24"/>
    <w:rsid w:val="008F79B8"/>
    <w:rsid w:val="008F7B64"/>
    <w:rsid w:val="009028B9"/>
    <w:rsid w:val="0090408F"/>
    <w:rsid w:val="0090537F"/>
    <w:rsid w:val="00906AA4"/>
    <w:rsid w:val="009071A8"/>
    <w:rsid w:val="00910815"/>
    <w:rsid w:val="00910E96"/>
    <w:rsid w:val="009112D1"/>
    <w:rsid w:val="009122B3"/>
    <w:rsid w:val="009126BA"/>
    <w:rsid w:val="009136BB"/>
    <w:rsid w:val="00915791"/>
    <w:rsid w:val="00915A3B"/>
    <w:rsid w:val="00915F8C"/>
    <w:rsid w:val="009161BE"/>
    <w:rsid w:val="0091688A"/>
    <w:rsid w:val="00917D63"/>
    <w:rsid w:val="00920E45"/>
    <w:rsid w:val="0092180B"/>
    <w:rsid w:val="00921F5F"/>
    <w:rsid w:val="00922233"/>
    <w:rsid w:val="009248D0"/>
    <w:rsid w:val="00925395"/>
    <w:rsid w:val="009255D2"/>
    <w:rsid w:val="00925748"/>
    <w:rsid w:val="00925BFA"/>
    <w:rsid w:val="009307A1"/>
    <w:rsid w:val="00931098"/>
    <w:rsid w:val="009310CF"/>
    <w:rsid w:val="009311C0"/>
    <w:rsid w:val="009314F7"/>
    <w:rsid w:val="009315E2"/>
    <w:rsid w:val="009316D1"/>
    <w:rsid w:val="0093188F"/>
    <w:rsid w:val="00931A43"/>
    <w:rsid w:val="00931EBB"/>
    <w:rsid w:val="00933449"/>
    <w:rsid w:val="0093388C"/>
    <w:rsid w:val="009343E2"/>
    <w:rsid w:val="00934534"/>
    <w:rsid w:val="009373C9"/>
    <w:rsid w:val="00940B09"/>
    <w:rsid w:val="00940F90"/>
    <w:rsid w:val="009419D6"/>
    <w:rsid w:val="00941AC7"/>
    <w:rsid w:val="00941FA3"/>
    <w:rsid w:val="0094364D"/>
    <w:rsid w:val="009438B9"/>
    <w:rsid w:val="0094393A"/>
    <w:rsid w:val="00943C17"/>
    <w:rsid w:val="00944FEE"/>
    <w:rsid w:val="00945756"/>
    <w:rsid w:val="009457D0"/>
    <w:rsid w:val="00946E75"/>
    <w:rsid w:val="0095231D"/>
    <w:rsid w:val="00953AE4"/>
    <w:rsid w:val="00953CD6"/>
    <w:rsid w:val="00955292"/>
    <w:rsid w:val="00955B40"/>
    <w:rsid w:val="00955D0F"/>
    <w:rsid w:val="00956C1A"/>
    <w:rsid w:val="00956CF5"/>
    <w:rsid w:val="00956D59"/>
    <w:rsid w:val="00957AAB"/>
    <w:rsid w:val="0096010C"/>
    <w:rsid w:val="0096043F"/>
    <w:rsid w:val="00962276"/>
    <w:rsid w:val="009627FC"/>
    <w:rsid w:val="00965743"/>
    <w:rsid w:val="00965CF8"/>
    <w:rsid w:val="00965D9D"/>
    <w:rsid w:val="00970A48"/>
    <w:rsid w:val="0097140A"/>
    <w:rsid w:val="0097201E"/>
    <w:rsid w:val="009721AB"/>
    <w:rsid w:val="009735B3"/>
    <w:rsid w:val="009738FD"/>
    <w:rsid w:val="00973BA4"/>
    <w:rsid w:val="00973E93"/>
    <w:rsid w:val="009748DF"/>
    <w:rsid w:val="009770E9"/>
    <w:rsid w:val="00980187"/>
    <w:rsid w:val="009802AD"/>
    <w:rsid w:val="00980782"/>
    <w:rsid w:val="00980B82"/>
    <w:rsid w:val="009842EE"/>
    <w:rsid w:val="00984675"/>
    <w:rsid w:val="00985918"/>
    <w:rsid w:val="00985C44"/>
    <w:rsid w:val="00991B27"/>
    <w:rsid w:val="0099248E"/>
    <w:rsid w:val="009929DC"/>
    <w:rsid w:val="00995528"/>
    <w:rsid w:val="0099658E"/>
    <w:rsid w:val="009A00AE"/>
    <w:rsid w:val="009A10EF"/>
    <w:rsid w:val="009A314A"/>
    <w:rsid w:val="009A3D83"/>
    <w:rsid w:val="009A5DAF"/>
    <w:rsid w:val="009B03F5"/>
    <w:rsid w:val="009B0CD9"/>
    <w:rsid w:val="009B0CF3"/>
    <w:rsid w:val="009B0E3A"/>
    <w:rsid w:val="009B11AD"/>
    <w:rsid w:val="009B1A51"/>
    <w:rsid w:val="009B2AB5"/>
    <w:rsid w:val="009B3D6E"/>
    <w:rsid w:val="009B5DE4"/>
    <w:rsid w:val="009B62E4"/>
    <w:rsid w:val="009B7DD7"/>
    <w:rsid w:val="009C0488"/>
    <w:rsid w:val="009C1D6D"/>
    <w:rsid w:val="009C279B"/>
    <w:rsid w:val="009C3018"/>
    <w:rsid w:val="009C3933"/>
    <w:rsid w:val="009C6A7B"/>
    <w:rsid w:val="009C6AA3"/>
    <w:rsid w:val="009C7592"/>
    <w:rsid w:val="009C7AC7"/>
    <w:rsid w:val="009D01C7"/>
    <w:rsid w:val="009D194B"/>
    <w:rsid w:val="009D3790"/>
    <w:rsid w:val="009D39F2"/>
    <w:rsid w:val="009D544C"/>
    <w:rsid w:val="009D71E7"/>
    <w:rsid w:val="009D7F48"/>
    <w:rsid w:val="009E076B"/>
    <w:rsid w:val="009E14EF"/>
    <w:rsid w:val="009E19D4"/>
    <w:rsid w:val="009E2AB3"/>
    <w:rsid w:val="009E307C"/>
    <w:rsid w:val="009E36BA"/>
    <w:rsid w:val="009E3B95"/>
    <w:rsid w:val="009E3C35"/>
    <w:rsid w:val="009E47E1"/>
    <w:rsid w:val="009E4E36"/>
    <w:rsid w:val="009E5529"/>
    <w:rsid w:val="009E5729"/>
    <w:rsid w:val="009F0CB6"/>
    <w:rsid w:val="009F36D4"/>
    <w:rsid w:val="009F4355"/>
    <w:rsid w:val="009F4752"/>
    <w:rsid w:val="009F5099"/>
    <w:rsid w:val="009F5989"/>
    <w:rsid w:val="009F5C03"/>
    <w:rsid w:val="009F604D"/>
    <w:rsid w:val="009F617E"/>
    <w:rsid w:val="009F6829"/>
    <w:rsid w:val="009F6F29"/>
    <w:rsid w:val="009F7F20"/>
    <w:rsid w:val="00A008BB"/>
    <w:rsid w:val="00A01757"/>
    <w:rsid w:val="00A01E6C"/>
    <w:rsid w:val="00A05DB2"/>
    <w:rsid w:val="00A065FC"/>
    <w:rsid w:val="00A07850"/>
    <w:rsid w:val="00A079AE"/>
    <w:rsid w:val="00A13394"/>
    <w:rsid w:val="00A13772"/>
    <w:rsid w:val="00A137B0"/>
    <w:rsid w:val="00A20789"/>
    <w:rsid w:val="00A22893"/>
    <w:rsid w:val="00A2303B"/>
    <w:rsid w:val="00A23CD3"/>
    <w:rsid w:val="00A2605B"/>
    <w:rsid w:val="00A27D32"/>
    <w:rsid w:val="00A315CF"/>
    <w:rsid w:val="00A31888"/>
    <w:rsid w:val="00A32D2D"/>
    <w:rsid w:val="00A33AA6"/>
    <w:rsid w:val="00A3585B"/>
    <w:rsid w:val="00A35C1D"/>
    <w:rsid w:val="00A368E0"/>
    <w:rsid w:val="00A37117"/>
    <w:rsid w:val="00A37DAB"/>
    <w:rsid w:val="00A40E04"/>
    <w:rsid w:val="00A40F3F"/>
    <w:rsid w:val="00A41274"/>
    <w:rsid w:val="00A42715"/>
    <w:rsid w:val="00A4279A"/>
    <w:rsid w:val="00A47DF3"/>
    <w:rsid w:val="00A47F9A"/>
    <w:rsid w:val="00A507B3"/>
    <w:rsid w:val="00A50C1A"/>
    <w:rsid w:val="00A51504"/>
    <w:rsid w:val="00A516D6"/>
    <w:rsid w:val="00A51B4A"/>
    <w:rsid w:val="00A52008"/>
    <w:rsid w:val="00A529F2"/>
    <w:rsid w:val="00A53A51"/>
    <w:rsid w:val="00A53BC0"/>
    <w:rsid w:val="00A54D6F"/>
    <w:rsid w:val="00A5603D"/>
    <w:rsid w:val="00A60B59"/>
    <w:rsid w:val="00A60BA8"/>
    <w:rsid w:val="00A62CD6"/>
    <w:rsid w:val="00A62F78"/>
    <w:rsid w:val="00A637BB"/>
    <w:rsid w:val="00A643CF"/>
    <w:rsid w:val="00A64A12"/>
    <w:rsid w:val="00A64B28"/>
    <w:rsid w:val="00A65C14"/>
    <w:rsid w:val="00A666D0"/>
    <w:rsid w:val="00A70009"/>
    <w:rsid w:val="00A70DB3"/>
    <w:rsid w:val="00A73756"/>
    <w:rsid w:val="00A73CF4"/>
    <w:rsid w:val="00A74F90"/>
    <w:rsid w:val="00A7570B"/>
    <w:rsid w:val="00A75806"/>
    <w:rsid w:val="00A77001"/>
    <w:rsid w:val="00A82115"/>
    <w:rsid w:val="00A85607"/>
    <w:rsid w:val="00A85AC0"/>
    <w:rsid w:val="00A872EF"/>
    <w:rsid w:val="00A87DA3"/>
    <w:rsid w:val="00A92E49"/>
    <w:rsid w:val="00A95379"/>
    <w:rsid w:val="00A953F0"/>
    <w:rsid w:val="00A97D57"/>
    <w:rsid w:val="00AA0649"/>
    <w:rsid w:val="00AA0EE8"/>
    <w:rsid w:val="00AA1CEC"/>
    <w:rsid w:val="00AA2E0F"/>
    <w:rsid w:val="00AA2F76"/>
    <w:rsid w:val="00AA3D44"/>
    <w:rsid w:val="00AA4521"/>
    <w:rsid w:val="00AA50EB"/>
    <w:rsid w:val="00AA5FED"/>
    <w:rsid w:val="00AA6B04"/>
    <w:rsid w:val="00AA6B60"/>
    <w:rsid w:val="00AA6E35"/>
    <w:rsid w:val="00AA7D93"/>
    <w:rsid w:val="00AB039A"/>
    <w:rsid w:val="00AB2162"/>
    <w:rsid w:val="00AB3632"/>
    <w:rsid w:val="00AC005F"/>
    <w:rsid w:val="00AC0CCD"/>
    <w:rsid w:val="00AC3615"/>
    <w:rsid w:val="00AC4F52"/>
    <w:rsid w:val="00AC6F6F"/>
    <w:rsid w:val="00AC77AC"/>
    <w:rsid w:val="00AC7A0F"/>
    <w:rsid w:val="00AC7A5E"/>
    <w:rsid w:val="00AD1AFC"/>
    <w:rsid w:val="00AD4568"/>
    <w:rsid w:val="00AD4680"/>
    <w:rsid w:val="00AD5940"/>
    <w:rsid w:val="00AD6D19"/>
    <w:rsid w:val="00AD7725"/>
    <w:rsid w:val="00AE0A55"/>
    <w:rsid w:val="00AE15EF"/>
    <w:rsid w:val="00AE1E09"/>
    <w:rsid w:val="00AE20D5"/>
    <w:rsid w:val="00AE2671"/>
    <w:rsid w:val="00AE460C"/>
    <w:rsid w:val="00AE4AEC"/>
    <w:rsid w:val="00AE5F97"/>
    <w:rsid w:val="00AE5FE4"/>
    <w:rsid w:val="00AE6B11"/>
    <w:rsid w:val="00AE7304"/>
    <w:rsid w:val="00AF08AA"/>
    <w:rsid w:val="00AF15EC"/>
    <w:rsid w:val="00AF3C4F"/>
    <w:rsid w:val="00AF41DF"/>
    <w:rsid w:val="00AF4267"/>
    <w:rsid w:val="00AF4AE9"/>
    <w:rsid w:val="00AF7408"/>
    <w:rsid w:val="00B01728"/>
    <w:rsid w:val="00B01A15"/>
    <w:rsid w:val="00B022A0"/>
    <w:rsid w:val="00B02AA7"/>
    <w:rsid w:val="00B04F24"/>
    <w:rsid w:val="00B11D68"/>
    <w:rsid w:val="00B120F6"/>
    <w:rsid w:val="00B12267"/>
    <w:rsid w:val="00B12FB4"/>
    <w:rsid w:val="00B148DE"/>
    <w:rsid w:val="00B15BE6"/>
    <w:rsid w:val="00B1608D"/>
    <w:rsid w:val="00B24EC8"/>
    <w:rsid w:val="00B2594B"/>
    <w:rsid w:val="00B26E5C"/>
    <w:rsid w:val="00B272DE"/>
    <w:rsid w:val="00B27D87"/>
    <w:rsid w:val="00B31DD6"/>
    <w:rsid w:val="00B31F68"/>
    <w:rsid w:val="00B33841"/>
    <w:rsid w:val="00B33A99"/>
    <w:rsid w:val="00B34107"/>
    <w:rsid w:val="00B35EDB"/>
    <w:rsid w:val="00B36295"/>
    <w:rsid w:val="00B36DF0"/>
    <w:rsid w:val="00B37276"/>
    <w:rsid w:val="00B40308"/>
    <w:rsid w:val="00B41A02"/>
    <w:rsid w:val="00B438EA"/>
    <w:rsid w:val="00B45465"/>
    <w:rsid w:val="00B45E9F"/>
    <w:rsid w:val="00B47F1F"/>
    <w:rsid w:val="00B507D4"/>
    <w:rsid w:val="00B50FB1"/>
    <w:rsid w:val="00B5114C"/>
    <w:rsid w:val="00B51825"/>
    <w:rsid w:val="00B520C3"/>
    <w:rsid w:val="00B522BF"/>
    <w:rsid w:val="00B52E54"/>
    <w:rsid w:val="00B54307"/>
    <w:rsid w:val="00B54BED"/>
    <w:rsid w:val="00B627AF"/>
    <w:rsid w:val="00B62968"/>
    <w:rsid w:val="00B629AD"/>
    <w:rsid w:val="00B62B6D"/>
    <w:rsid w:val="00B65074"/>
    <w:rsid w:val="00B662B7"/>
    <w:rsid w:val="00B6660D"/>
    <w:rsid w:val="00B700A4"/>
    <w:rsid w:val="00B708BB"/>
    <w:rsid w:val="00B72BFF"/>
    <w:rsid w:val="00B72CD0"/>
    <w:rsid w:val="00B733E3"/>
    <w:rsid w:val="00B771D6"/>
    <w:rsid w:val="00B8051E"/>
    <w:rsid w:val="00B81E31"/>
    <w:rsid w:val="00B82D55"/>
    <w:rsid w:val="00B83833"/>
    <w:rsid w:val="00B86168"/>
    <w:rsid w:val="00B87352"/>
    <w:rsid w:val="00B90860"/>
    <w:rsid w:val="00B913FB"/>
    <w:rsid w:val="00B92604"/>
    <w:rsid w:val="00B92DE9"/>
    <w:rsid w:val="00B93343"/>
    <w:rsid w:val="00B93B4A"/>
    <w:rsid w:val="00B9404A"/>
    <w:rsid w:val="00B95333"/>
    <w:rsid w:val="00B95895"/>
    <w:rsid w:val="00B974D3"/>
    <w:rsid w:val="00BA0F7F"/>
    <w:rsid w:val="00BA11D7"/>
    <w:rsid w:val="00BA1605"/>
    <w:rsid w:val="00BA1801"/>
    <w:rsid w:val="00BA2D93"/>
    <w:rsid w:val="00BA3883"/>
    <w:rsid w:val="00BA42C8"/>
    <w:rsid w:val="00BA6FDE"/>
    <w:rsid w:val="00BA7453"/>
    <w:rsid w:val="00BB08D2"/>
    <w:rsid w:val="00BB13C5"/>
    <w:rsid w:val="00BB24E3"/>
    <w:rsid w:val="00BB2C30"/>
    <w:rsid w:val="00BB2DE6"/>
    <w:rsid w:val="00BB499E"/>
    <w:rsid w:val="00BB4D2E"/>
    <w:rsid w:val="00BB5154"/>
    <w:rsid w:val="00BB67C2"/>
    <w:rsid w:val="00BB6EEE"/>
    <w:rsid w:val="00BC0DDC"/>
    <w:rsid w:val="00BC1FB8"/>
    <w:rsid w:val="00BC2903"/>
    <w:rsid w:val="00BC30B5"/>
    <w:rsid w:val="00BC42F6"/>
    <w:rsid w:val="00BC45B1"/>
    <w:rsid w:val="00BC4B80"/>
    <w:rsid w:val="00BC6FB4"/>
    <w:rsid w:val="00BC71B4"/>
    <w:rsid w:val="00BD0ED2"/>
    <w:rsid w:val="00BD2563"/>
    <w:rsid w:val="00BD2D37"/>
    <w:rsid w:val="00BD5386"/>
    <w:rsid w:val="00BD68C5"/>
    <w:rsid w:val="00BE1767"/>
    <w:rsid w:val="00BE1EDF"/>
    <w:rsid w:val="00BE2110"/>
    <w:rsid w:val="00BE22E3"/>
    <w:rsid w:val="00BE311F"/>
    <w:rsid w:val="00BE4AFB"/>
    <w:rsid w:val="00BE4B34"/>
    <w:rsid w:val="00BE593D"/>
    <w:rsid w:val="00BE653A"/>
    <w:rsid w:val="00BE66FB"/>
    <w:rsid w:val="00BE69B8"/>
    <w:rsid w:val="00BE76EA"/>
    <w:rsid w:val="00BE7706"/>
    <w:rsid w:val="00BF03B4"/>
    <w:rsid w:val="00BF30A1"/>
    <w:rsid w:val="00BF40FF"/>
    <w:rsid w:val="00BF42D1"/>
    <w:rsid w:val="00BF580A"/>
    <w:rsid w:val="00BF62D2"/>
    <w:rsid w:val="00BF6352"/>
    <w:rsid w:val="00C00E1F"/>
    <w:rsid w:val="00C02738"/>
    <w:rsid w:val="00C02F7D"/>
    <w:rsid w:val="00C0323F"/>
    <w:rsid w:val="00C04A3B"/>
    <w:rsid w:val="00C04A81"/>
    <w:rsid w:val="00C04C56"/>
    <w:rsid w:val="00C058D0"/>
    <w:rsid w:val="00C05B48"/>
    <w:rsid w:val="00C06798"/>
    <w:rsid w:val="00C07D1C"/>
    <w:rsid w:val="00C10636"/>
    <w:rsid w:val="00C11357"/>
    <w:rsid w:val="00C117CE"/>
    <w:rsid w:val="00C12F0D"/>
    <w:rsid w:val="00C14FBE"/>
    <w:rsid w:val="00C153B5"/>
    <w:rsid w:val="00C15D9C"/>
    <w:rsid w:val="00C170C1"/>
    <w:rsid w:val="00C17650"/>
    <w:rsid w:val="00C17DED"/>
    <w:rsid w:val="00C202C2"/>
    <w:rsid w:val="00C20654"/>
    <w:rsid w:val="00C217B6"/>
    <w:rsid w:val="00C22650"/>
    <w:rsid w:val="00C23A72"/>
    <w:rsid w:val="00C23E1A"/>
    <w:rsid w:val="00C23F77"/>
    <w:rsid w:val="00C24154"/>
    <w:rsid w:val="00C241E0"/>
    <w:rsid w:val="00C241EC"/>
    <w:rsid w:val="00C24DB2"/>
    <w:rsid w:val="00C262C0"/>
    <w:rsid w:val="00C277ED"/>
    <w:rsid w:val="00C307DB"/>
    <w:rsid w:val="00C307F1"/>
    <w:rsid w:val="00C31128"/>
    <w:rsid w:val="00C31CF3"/>
    <w:rsid w:val="00C321F6"/>
    <w:rsid w:val="00C329A5"/>
    <w:rsid w:val="00C33F6D"/>
    <w:rsid w:val="00C4193B"/>
    <w:rsid w:val="00C41CDD"/>
    <w:rsid w:val="00C44918"/>
    <w:rsid w:val="00C453E9"/>
    <w:rsid w:val="00C46EE8"/>
    <w:rsid w:val="00C502A3"/>
    <w:rsid w:val="00C50610"/>
    <w:rsid w:val="00C50F5A"/>
    <w:rsid w:val="00C543D6"/>
    <w:rsid w:val="00C54E19"/>
    <w:rsid w:val="00C5563B"/>
    <w:rsid w:val="00C55BB0"/>
    <w:rsid w:val="00C55C25"/>
    <w:rsid w:val="00C55C72"/>
    <w:rsid w:val="00C57A42"/>
    <w:rsid w:val="00C616BB"/>
    <w:rsid w:val="00C63906"/>
    <w:rsid w:val="00C63DA4"/>
    <w:rsid w:val="00C6451F"/>
    <w:rsid w:val="00C67AAF"/>
    <w:rsid w:val="00C70CDA"/>
    <w:rsid w:val="00C70D85"/>
    <w:rsid w:val="00C70DA0"/>
    <w:rsid w:val="00C71661"/>
    <w:rsid w:val="00C717D1"/>
    <w:rsid w:val="00C736AE"/>
    <w:rsid w:val="00C74056"/>
    <w:rsid w:val="00C75C4F"/>
    <w:rsid w:val="00C80C9E"/>
    <w:rsid w:val="00C81FB8"/>
    <w:rsid w:val="00C820D5"/>
    <w:rsid w:val="00C8250D"/>
    <w:rsid w:val="00C82AD9"/>
    <w:rsid w:val="00C83693"/>
    <w:rsid w:val="00C83828"/>
    <w:rsid w:val="00C83ED5"/>
    <w:rsid w:val="00C847AA"/>
    <w:rsid w:val="00C84DE8"/>
    <w:rsid w:val="00C86160"/>
    <w:rsid w:val="00C8684D"/>
    <w:rsid w:val="00C86925"/>
    <w:rsid w:val="00C873D3"/>
    <w:rsid w:val="00C874FA"/>
    <w:rsid w:val="00C87C84"/>
    <w:rsid w:val="00C91558"/>
    <w:rsid w:val="00C91853"/>
    <w:rsid w:val="00C92190"/>
    <w:rsid w:val="00C93FC6"/>
    <w:rsid w:val="00C94449"/>
    <w:rsid w:val="00C94585"/>
    <w:rsid w:val="00C94DCB"/>
    <w:rsid w:val="00C97072"/>
    <w:rsid w:val="00C9758A"/>
    <w:rsid w:val="00C97EEA"/>
    <w:rsid w:val="00C97F18"/>
    <w:rsid w:val="00CA16F6"/>
    <w:rsid w:val="00CA26C5"/>
    <w:rsid w:val="00CA2A5A"/>
    <w:rsid w:val="00CA4D8E"/>
    <w:rsid w:val="00CA588D"/>
    <w:rsid w:val="00CA61C9"/>
    <w:rsid w:val="00CA6FF5"/>
    <w:rsid w:val="00CB07D4"/>
    <w:rsid w:val="00CB13EA"/>
    <w:rsid w:val="00CB2F6E"/>
    <w:rsid w:val="00CB3ABA"/>
    <w:rsid w:val="00CB3E2D"/>
    <w:rsid w:val="00CB439B"/>
    <w:rsid w:val="00CB4803"/>
    <w:rsid w:val="00CB49BF"/>
    <w:rsid w:val="00CB4AC3"/>
    <w:rsid w:val="00CB6D89"/>
    <w:rsid w:val="00CC2C2C"/>
    <w:rsid w:val="00CC39C9"/>
    <w:rsid w:val="00CC4079"/>
    <w:rsid w:val="00CC4918"/>
    <w:rsid w:val="00CC6556"/>
    <w:rsid w:val="00CC6A8B"/>
    <w:rsid w:val="00CC775C"/>
    <w:rsid w:val="00CD029F"/>
    <w:rsid w:val="00CD0BD5"/>
    <w:rsid w:val="00CD2C8B"/>
    <w:rsid w:val="00CD2E10"/>
    <w:rsid w:val="00CD6152"/>
    <w:rsid w:val="00CE0DA9"/>
    <w:rsid w:val="00CE179C"/>
    <w:rsid w:val="00CE2719"/>
    <w:rsid w:val="00CE33FB"/>
    <w:rsid w:val="00CE5874"/>
    <w:rsid w:val="00CE712C"/>
    <w:rsid w:val="00CE717D"/>
    <w:rsid w:val="00CE7DFF"/>
    <w:rsid w:val="00CE7F59"/>
    <w:rsid w:val="00CF0644"/>
    <w:rsid w:val="00CF0696"/>
    <w:rsid w:val="00CF15CF"/>
    <w:rsid w:val="00CF2137"/>
    <w:rsid w:val="00CF349D"/>
    <w:rsid w:val="00CF49AB"/>
    <w:rsid w:val="00CF62EE"/>
    <w:rsid w:val="00CF67F0"/>
    <w:rsid w:val="00CF755C"/>
    <w:rsid w:val="00CF7EA6"/>
    <w:rsid w:val="00D0138C"/>
    <w:rsid w:val="00D023C1"/>
    <w:rsid w:val="00D03D29"/>
    <w:rsid w:val="00D03E75"/>
    <w:rsid w:val="00D041B9"/>
    <w:rsid w:val="00D0511B"/>
    <w:rsid w:val="00D055AC"/>
    <w:rsid w:val="00D05D21"/>
    <w:rsid w:val="00D05F62"/>
    <w:rsid w:val="00D06B4A"/>
    <w:rsid w:val="00D11EF2"/>
    <w:rsid w:val="00D1390D"/>
    <w:rsid w:val="00D13A0B"/>
    <w:rsid w:val="00D15814"/>
    <w:rsid w:val="00D15AFF"/>
    <w:rsid w:val="00D17151"/>
    <w:rsid w:val="00D176F7"/>
    <w:rsid w:val="00D17908"/>
    <w:rsid w:val="00D222D3"/>
    <w:rsid w:val="00D22593"/>
    <w:rsid w:val="00D225E1"/>
    <w:rsid w:val="00D24198"/>
    <w:rsid w:val="00D2653C"/>
    <w:rsid w:val="00D26FB4"/>
    <w:rsid w:val="00D2743A"/>
    <w:rsid w:val="00D277DA"/>
    <w:rsid w:val="00D279B7"/>
    <w:rsid w:val="00D30307"/>
    <w:rsid w:val="00D30355"/>
    <w:rsid w:val="00D31BB8"/>
    <w:rsid w:val="00D32541"/>
    <w:rsid w:val="00D32AD1"/>
    <w:rsid w:val="00D339DE"/>
    <w:rsid w:val="00D358C7"/>
    <w:rsid w:val="00D373E8"/>
    <w:rsid w:val="00D40EF3"/>
    <w:rsid w:val="00D45451"/>
    <w:rsid w:val="00D45974"/>
    <w:rsid w:val="00D47E2C"/>
    <w:rsid w:val="00D535BF"/>
    <w:rsid w:val="00D53AD4"/>
    <w:rsid w:val="00D56EF5"/>
    <w:rsid w:val="00D62819"/>
    <w:rsid w:val="00D64F90"/>
    <w:rsid w:val="00D6649A"/>
    <w:rsid w:val="00D67699"/>
    <w:rsid w:val="00D67768"/>
    <w:rsid w:val="00D70220"/>
    <w:rsid w:val="00D709AB"/>
    <w:rsid w:val="00D73A94"/>
    <w:rsid w:val="00D73EC8"/>
    <w:rsid w:val="00D74CA2"/>
    <w:rsid w:val="00D80EC4"/>
    <w:rsid w:val="00D826B3"/>
    <w:rsid w:val="00D83C0C"/>
    <w:rsid w:val="00D8407C"/>
    <w:rsid w:val="00D84B35"/>
    <w:rsid w:val="00D84C32"/>
    <w:rsid w:val="00D869A9"/>
    <w:rsid w:val="00D86A12"/>
    <w:rsid w:val="00D86D6B"/>
    <w:rsid w:val="00D870BD"/>
    <w:rsid w:val="00D87869"/>
    <w:rsid w:val="00D921E5"/>
    <w:rsid w:val="00D9269C"/>
    <w:rsid w:val="00D92ED6"/>
    <w:rsid w:val="00D9354B"/>
    <w:rsid w:val="00D93833"/>
    <w:rsid w:val="00D9401A"/>
    <w:rsid w:val="00D96057"/>
    <w:rsid w:val="00D96458"/>
    <w:rsid w:val="00D9699D"/>
    <w:rsid w:val="00D97D0D"/>
    <w:rsid w:val="00DA0365"/>
    <w:rsid w:val="00DA1618"/>
    <w:rsid w:val="00DA241F"/>
    <w:rsid w:val="00DA4400"/>
    <w:rsid w:val="00DA4FCC"/>
    <w:rsid w:val="00DA55E8"/>
    <w:rsid w:val="00DA5CA0"/>
    <w:rsid w:val="00DB0E05"/>
    <w:rsid w:val="00DB0FE8"/>
    <w:rsid w:val="00DB345D"/>
    <w:rsid w:val="00DB5EBF"/>
    <w:rsid w:val="00DB64C5"/>
    <w:rsid w:val="00DC0F63"/>
    <w:rsid w:val="00DC2271"/>
    <w:rsid w:val="00DC2715"/>
    <w:rsid w:val="00DC2BC9"/>
    <w:rsid w:val="00DC30EF"/>
    <w:rsid w:val="00DC341D"/>
    <w:rsid w:val="00DC3936"/>
    <w:rsid w:val="00DC5121"/>
    <w:rsid w:val="00DC6B4E"/>
    <w:rsid w:val="00DD08DA"/>
    <w:rsid w:val="00DD1AE7"/>
    <w:rsid w:val="00DD3BF2"/>
    <w:rsid w:val="00DD4744"/>
    <w:rsid w:val="00DE03F4"/>
    <w:rsid w:val="00DE1470"/>
    <w:rsid w:val="00DE1B79"/>
    <w:rsid w:val="00DE2F72"/>
    <w:rsid w:val="00DE3F3E"/>
    <w:rsid w:val="00DE5076"/>
    <w:rsid w:val="00DE63F5"/>
    <w:rsid w:val="00DE726D"/>
    <w:rsid w:val="00DF0F93"/>
    <w:rsid w:val="00DF2632"/>
    <w:rsid w:val="00DF350C"/>
    <w:rsid w:val="00DF43FF"/>
    <w:rsid w:val="00DF63C6"/>
    <w:rsid w:val="00DF730F"/>
    <w:rsid w:val="00E012EE"/>
    <w:rsid w:val="00E02634"/>
    <w:rsid w:val="00E0499E"/>
    <w:rsid w:val="00E11D2B"/>
    <w:rsid w:val="00E13653"/>
    <w:rsid w:val="00E13ACD"/>
    <w:rsid w:val="00E13B1F"/>
    <w:rsid w:val="00E14394"/>
    <w:rsid w:val="00E15008"/>
    <w:rsid w:val="00E15123"/>
    <w:rsid w:val="00E1555F"/>
    <w:rsid w:val="00E16B0C"/>
    <w:rsid w:val="00E16DA5"/>
    <w:rsid w:val="00E17226"/>
    <w:rsid w:val="00E2077F"/>
    <w:rsid w:val="00E20A67"/>
    <w:rsid w:val="00E20ED1"/>
    <w:rsid w:val="00E21689"/>
    <w:rsid w:val="00E21CDD"/>
    <w:rsid w:val="00E21F5C"/>
    <w:rsid w:val="00E22029"/>
    <w:rsid w:val="00E224DB"/>
    <w:rsid w:val="00E229BF"/>
    <w:rsid w:val="00E22CBB"/>
    <w:rsid w:val="00E2472A"/>
    <w:rsid w:val="00E2501D"/>
    <w:rsid w:val="00E25F51"/>
    <w:rsid w:val="00E27164"/>
    <w:rsid w:val="00E27289"/>
    <w:rsid w:val="00E27617"/>
    <w:rsid w:val="00E276B8"/>
    <w:rsid w:val="00E27BCB"/>
    <w:rsid w:val="00E315D2"/>
    <w:rsid w:val="00E31B9C"/>
    <w:rsid w:val="00E31FA9"/>
    <w:rsid w:val="00E32A4F"/>
    <w:rsid w:val="00E33460"/>
    <w:rsid w:val="00E338EE"/>
    <w:rsid w:val="00E36608"/>
    <w:rsid w:val="00E36B03"/>
    <w:rsid w:val="00E37A7A"/>
    <w:rsid w:val="00E40686"/>
    <w:rsid w:val="00E416D3"/>
    <w:rsid w:val="00E42E03"/>
    <w:rsid w:val="00E4370E"/>
    <w:rsid w:val="00E470FD"/>
    <w:rsid w:val="00E50414"/>
    <w:rsid w:val="00E506E1"/>
    <w:rsid w:val="00E52A53"/>
    <w:rsid w:val="00E536D6"/>
    <w:rsid w:val="00E54C9C"/>
    <w:rsid w:val="00E55B19"/>
    <w:rsid w:val="00E55F05"/>
    <w:rsid w:val="00E55FC2"/>
    <w:rsid w:val="00E57C5B"/>
    <w:rsid w:val="00E57E0D"/>
    <w:rsid w:val="00E62D7E"/>
    <w:rsid w:val="00E62E75"/>
    <w:rsid w:val="00E64251"/>
    <w:rsid w:val="00E6462A"/>
    <w:rsid w:val="00E65C93"/>
    <w:rsid w:val="00E6630D"/>
    <w:rsid w:val="00E66628"/>
    <w:rsid w:val="00E672EF"/>
    <w:rsid w:val="00E705FE"/>
    <w:rsid w:val="00E706CB"/>
    <w:rsid w:val="00E70FE2"/>
    <w:rsid w:val="00E717E1"/>
    <w:rsid w:val="00E7227D"/>
    <w:rsid w:val="00E73621"/>
    <w:rsid w:val="00E7422D"/>
    <w:rsid w:val="00E757EB"/>
    <w:rsid w:val="00E75FAB"/>
    <w:rsid w:val="00E77817"/>
    <w:rsid w:val="00E80CC7"/>
    <w:rsid w:val="00E82D5F"/>
    <w:rsid w:val="00E82D87"/>
    <w:rsid w:val="00E83B17"/>
    <w:rsid w:val="00E84817"/>
    <w:rsid w:val="00E84E52"/>
    <w:rsid w:val="00E85075"/>
    <w:rsid w:val="00E8708B"/>
    <w:rsid w:val="00E878B2"/>
    <w:rsid w:val="00E9222D"/>
    <w:rsid w:val="00E93D9E"/>
    <w:rsid w:val="00E94580"/>
    <w:rsid w:val="00E9503E"/>
    <w:rsid w:val="00E95423"/>
    <w:rsid w:val="00EA3E38"/>
    <w:rsid w:val="00EA60BC"/>
    <w:rsid w:val="00EA66A9"/>
    <w:rsid w:val="00EA6C04"/>
    <w:rsid w:val="00EA72D4"/>
    <w:rsid w:val="00EB09CF"/>
    <w:rsid w:val="00EB1240"/>
    <w:rsid w:val="00EB1788"/>
    <w:rsid w:val="00EB1BBE"/>
    <w:rsid w:val="00EB327A"/>
    <w:rsid w:val="00EB4250"/>
    <w:rsid w:val="00EB66C1"/>
    <w:rsid w:val="00EC1A27"/>
    <w:rsid w:val="00EC1E98"/>
    <w:rsid w:val="00EC20AB"/>
    <w:rsid w:val="00EC3DDD"/>
    <w:rsid w:val="00EC4BFC"/>
    <w:rsid w:val="00EC4EBE"/>
    <w:rsid w:val="00EC65D8"/>
    <w:rsid w:val="00EC66D9"/>
    <w:rsid w:val="00ED08CC"/>
    <w:rsid w:val="00ED164E"/>
    <w:rsid w:val="00ED2927"/>
    <w:rsid w:val="00ED2F4C"/>
    <w:rsid w:val="00ED4CC1"/>
    <w:rsid w:val="00ED6A2D"/>
    <w:rsid w:val="00EE11D8"/>
    <w:rsid w:val="00EE38C8"/>
    <w:rsid w:val="00EE460D"/>
    <w:rsid w:val="00EE4855"/>
    <w:rsid w:val="00EE512C"/>
    <w:rsid w:val="00EE6393"/>
    <w:rsid w:val="00EE6955"/>
    <w:rsid w:val="00EE7C8B"/>
    <w:rsid w:val="00EF1310"/>
    <w:rsid w:val="00EF1E31"/>
    <w:rsid w:val="00EF416E"/>
    <w:rsid w:val="00EF5072"/>
    <w:rsid w:val="00EF59B1"/>
    <w:rsid w:val="00EF5F3D"/>
    <w:rsid w:val="00EF6B1F"/>
    <w:rsid w:val="00F00A76"/>
    <w:rsid w:val="00F00EFB"/>
    <w:rsid w:val="00F0125D"/>
    <w:rsid w:val="00F01628"/>
    <w:rsid w:val="00F01929"/>
    <w:rsid w:val="00F04275"/>
    <w:rsid w:val="00F04C4C"/>
    <w:rsid w:val="00F07E6F"/>
    <w:rsid w:val="00F1142D"/>
    <w:rsid w:val="00F11540"/>
    <w:rsid w:val="00F12F8C"/>
    <w:rsid w:val="00F144A6"/>
    <w:rsid w:val="00F1461E"/>
    <w:rsid w:val="00F1610A"/>
    <w:rsid w:val="00F20470"/>
    <w:rsid w:val="00F20D33"/>
    <w:rsid w:val="00F256B7"/>
    <w:rsid w:val="00F273EE"/>
    <w:rsid w:val="00F2744E"/>
    <w:rsid w:val="00F27692"/>
    <w:rsid w:val="00F30978"/>
    <w:rsid w:val="00F311CD"/>
    <w:rsid w:val="00F3198B"/>
    <w:rsid w:val="00F31CAE"/>
    <w:rsid w:val="00F33ACC"/>
    <w:rsid w:val="00F341C2"/>
    <w:rsid w:val="00F40740"/>
    <w:rsid w:val="00F430BB"/>
    <w:rsid w:val="00F452EB"/>
    <w:rsid w:val="00F47C51"/>
    <w:rsid w:val="00F507C8"/>
    <w:rsid w:val="00F51D74"/>
    <w:rsid w:val="00F5497A"/>
    <w:rsid w:val="00F55678"/>
    <w:rsid w:val="00F556EF"/>
    <w:rsid w:val="00F55715"/>
    <w:rsid w:val="00F55DAE"/>
    <w:rsid w:val="00F566CE"/>
    <w:rsid w:val="00F5744E"/>
    <w:rsid w:val="00F57BEE"/>
    <w:rsid w:val="00F60747"/>
    <w:rsid w:val="00F62817"/>
    <w:rsid w:val="00F62BFF"/>
    <w:rsid w:val="00F636E1"/>
    <w:rsid w:val="00F644FA"/>
    <w:rsid w:val="00F656C3"/>
    <w:rsid w:val="00F659AD"/>
    <w:rsid w:val="00F66652"/>
    <w:rsid w:val="00F67ACB"/>
    <w:rsid w:val="00F70B83"/>
    <w:rsid w:val="00F7372A"/>
    <w:rsid w:val="00F74144"/>
    <w:rsid w:val="00F756A6"/>
    <w:rsid w:val="00F77227"/>
    <w:rsid w:val="00F8052E"/>
    <w:rsid w:val="00F82548"/>
    <w:rsid w:val="00F82E38"/>
    <w:rsid w:val="00F83531"/>
    <w:rsid w:val="00F83DA8"/>
    <w:rsid w:val="00F85A2D"/>
    <w:rsid w:val="00F8623F"/>
    <w:rsid w:val="00F90B68"/>
    <w:rsid w:val="00F910B4"/>
    <w:rsid w:val="00F91717"/>
    <w:rsid w:val="00F92D05"/>
    <w:rsid w:val="00F9308E"/>
    <w:rsid w:val="00F9632B"/>
    <w:rsid w:val="00F96910"/>
    <w:rsid w:val="00F96FBF"/>
    <w:rsid w:val="00FA0F96"/>
    <w:rsid w:val="00FA2138"/>
    <w:rsid w:val="00FA3126"/>
    <w:rsid w:val="00FA3553"/>
    <w:rsid w:val="00FA3BD1"/>
    <w:rsid w:val="00FA63D3"/>
    <w:rsid w:val="00FA6CB6"/>
    <w:rsid w:val="00FA6CBD"/>
    <w:rsid w:val="00FA6D5C"/>
    <w:rsid w:val="00FB2603"/>
    <w:rsid w:val="00FB376F"/>
    <w:rsid w:val="00FB3F54"/>
    <w:rsid w:val="00FB5C37"/>
    <w:rsid w:val="00FB6713"/>
    <w:rsid w:val="00FC0BEB"/>
    <w:rsid w:val="00FC28CB"/>
    <w:rsid w:val="00FC5A36"/>
    <w:rsid w:val="00FC74E4"/>
    <w:rsid w:val="00FC7755"/>
    <w:rsid w:val="00FC7D1E"/>
    <w:rsid w:val="00FD0B2F"/>
    <w:rsid w:val="00FD1A05"/>
    <w:rsid w:val="00FD42E4"/>
    <w:rsid w:val="00FD45D2"/>
    <w:rsid w:val="00FD6BB7"/>
    <w:rsid w:val="00FD749D"/>
    <w:rsid w:val="00FD7BE2"/>
    <w:rsid w:val="00FD7F8B"/>
    <w:rsid w:val="00FE13B5"/>
    <w:rsid w:val="00FE3A7F"/>
    <w:rsid w:val="00FE48BD"/>
    <w:rsid w:val="00FE55BF"/>
    <w:rsid w:val="00FE55FD"/>
    <w:rsid w:val="00FE57E5"/>
    <w:rsid w:val="00FE720C"/>
    <w:rsid w:val="00FF0706"/>
    <w:rsid w:val="00FF076A"/>
    <w:rsid w:val="00FF17FD"/>
    <w:rsid w:val="00FF183E"/>
    <w:rsid w:val="00FF1A5B"/>
    <w:rsid w:val="00FF1D54"/>
    <w:rsid w:val="00FF271C"/>
    <w:rsid w:val="00FF5BA3"/>
    <w:rsid w:val="00FF5E0A"/>
    <w:rsid w:val="00FF7A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31EC1"/>
  <w15:docId w15:val="{A7981599-60C5-4209-A13F-D5168849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FF"/>
    <w:rPr>
      <w:lang w:val="en-CA"/>
    </w:rPr>
  </w:style>
  <w:style w:type="paragraph" w:styleId="Heading1">
    <w:name w:val="heading 1"/>
    <w:basedOn w:val="Normal"/>
    <w:next w:val="Normal"/>
    <w:link w:val="Heading1Char"/>
    <w:uiPriority w:val="9"/>
    <w:qFormat/>
    <w:rsid w:val="004F0093"/>
    <w:pPr>
      <w:keepNext/>
      <w:keepLines/>
      <w:spacing w:before="120" w:after="360" w:line="240" w:lineRule="auto"/>
      <w:outlineLvl w:val="0"/>
    </w:pPr>
    <w:rPr>
      <w:rFonts w:eastAsiaTheme="majorEastAsia" w:cstheme="majorBidi"/>
      <w:b/>
      <w:bCs/>
      <w:sz w:val="26"/>
      <w:szCs w:val="28"/>
      <w:lang w:val="en-US"/>
    </w:rPr>
  </w:style>
  <w:style w:type="paragraph" w:styleId="Heading2">
    <w:name w:val="heading 2"/>
    <w:basedOn w:val="Normal"/>
    <w:next w:val="Normal"/>
    <w:link w:val="Heading2Char"/>
    <w:uiPriority w:val="9"/>
    <w:unhideWhenUsed/>
    <w:qFormat/>
    <w:rsid w:val="004F0093"/>
    <w:pPr>
      <w:keepNext/>
      <w:keepLines/>
      <w:spacing w:after="240"/>
      <w:outlineLvl w:val="1"/>
    </w:pPr>
    <w:rPr>
      <w:rFonts w:eastAsiaTheme="majorEastAsia" w:cstheme="minorHAnsi"/>
      <w:b/>
      <w:bCs/>
      <w:sz w:val="24"/>
      <w:szCs w:val="26"/>
      <w:u w:val="single"/>
    </w:rPr>
  </w:style>
  <w:style w:type="paragraph" w:styleId="Heading3">
    <w:name w:val="heading 3"/>
    <w:basedOn w:val="Normal"/>
    <w:next w:val="Normal"/>
    <w:link w:val="Heading3Char"/>
    <w:uiPriority w:val="9"/>
    <w:unhideWhenUsed/>
    <w:qFormat/>
    <w:rsid w:val="00C307DB"/>
    <w:pPr>
      <w:outlineLvl w:val="2"/>
    </w:pPr>
    <w:rPr>
      <w:rFonts w:cs="Arial"/>
      <w:b/>
      <w:bCs/>
      <w:sz w:val="24"/>
      <w:szCs w:val="24"/>
    </w:rPr>
  </w:style>
  <w:style w:type="paragraph" w:styleId="Heading4">
    <w:name w:val="heading 4"/>
    <w:basedOn w:val="Normal"/>
    <w:next w:val="Normal"/>
    <w:link w:val="Heading4Char"/>
    <w:uiPriority w:val="9"/>
    <w:unhideWhenUsed/>
    <w:qFormat/>
    <w:rsid w:val="00D15AFF"/>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093"/>
    <w:rPr>
      <w:rFonts w:eastAsiaTheme="majorEastAsia" w:cstheme="majorBidi"/>
      <w:b/>
      <w:bCs/>
      <w:sz w:val="26"/>
      <w:szCs w:val="28"/>
    </w:rPr>
  </w:style>
  <w:style w:type="paragraph" w:styleId="ListParagraph">
    <w:name w:val="List Paragraph"/>
    <w:basedOn w:val="Normal"/>
    <w:link w:val="ListParagraphChar"/>
    <w:uiPriority w:val="34"/>
    <w:qFormat/>
    <w:rsid w:val="000D55D3"/>
    <w:pPr>
      <w:ind w:left="720"/>
      <w:contextualSpacing/>
    </w:pPr>
  </w:style>
  <w:style w:type="paragraph" w:styleId="BalloonText">
    <w:name w:val="Balloon Text"/>
    <w:basedOn w:val="Normal"/>
    <w:link w:val="BalloonTextChar"/>
    <w:uiPriority w:val="99"/>
    <w:semiHidden/>
    <w:unhideWhenUsed/>
    <w:rsid w:val="00C04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A3B"/>
    <w:rPr>
      <w:rFonts w:ascii="Tahoma" w:hAnsi="Tahoma" w:cs="Tahoma"/>
      <w:sz w:val="16"/>
      <w:szCs w:val="16"/>
      <w:lang w:val="en-CA"/>
    </w:rPr>
  </w:style>
  <w:style w:type="paragraph" w:styleId="Title">
    <w:name w:val="Title"/>
    <w:basedOn w:val="Normal"/>
    <w:next w:val="Normal"/>
    <w:link w:val="TitleChar"/>
    <w:uiPriority w:val="10"/>
    <w:qFormat/>
    <w:rsid w:val="00C04A3B"/>
    <w:pPr>
      <w:pBdr>
        <w:bottom w:val="single" w:sz="8" w:space="4" w:color="0F6FC6" w:themeColor="accent1"/>
      </w:pBdr>
      <w:spacing w:after="300" w:line="240" w:lineRule="auto"/>
      <w:contextualSpacing/>
    </w:pPr>
    <w:rPr>
      <w:rFonts w:asciiTheme="majorHAnsi" w:eastAsiaTheme="majorEastAsia" w:hAnsiTheme="majorHAnsi" w:cstheme="majorBidi"/>
      <w:color w:val="112F5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C04A3B"/>
    <w:rPr>
      <w:rFonts w:asciiTheme="majorHAnsi" w:eastAsiaTheme="majorEastAsia" w:hAnsiTheme="majorHAnsi" w:cstheme="majorBidi"/>
      <w:color w:val="112F51" w:themeColor="text2" w:themeShade="BF"/>
      <w:spacing w:val="5"/>
      <w:kern w:val="28"/>
      <w:sz w:val="52"/>
      <w:szCs w:val="52"/>
      <w:lang w:eastAsia="ja-JP"/>
    </w:rPr>
  </w:style>
  <w:style w:type="paragraph" w:styleId="Subtitle">
    <w:name w:val="Subtitle"/>
    <w:basedOn w:val="Normal"/>
    <w:next w:val="Normal"/>
    <w:link w:val="SubtitleChar"/>
    <w:uiPriority w:val="11"/>
    <w:qFormat/>
    <w:rsid w:val="00C04A3B"/>
    <w:pPr>
      <w:numPr>
        <w:ilvl w:val="1"/>
      </w:numPr>
    </w:pPr>
    <w:rPr>
      <w:rFonts w:asciiTheme="majorHAnsi" w:eastAsiaTheme="majorEastAsia" w:hAnsiTheme="majorHAnsi" w:cstheme="majorBidi"/>
      <w:i/>
      <w:iCs/>
      <w:color w:val="0F6FC6" w:themeColor="accent1"/>
      <w:spacing w:val="15"/>
      <w:sz w:val="24"/>
      <w:szCs w:val="24"/>
      <w:lang w:val="en-US" w:eastAsia="ja-JP"/>
    </w:rPr>
  </w:style>
  <w:style w:type="character" w:customStyle="1" w:styleId="SubtitleChar">
    <w:name w:val="Subtitle Char"/>
    <w:basedOn w:val="DefaultParagraphFont"/>
    <w:link w:val="Subtitle"/>
    <w:uiPriority w:val="11"/>
    <w:rsid w:val="00C04A3B"/>
    <w:rPr>
      <w:rFonts w:asciiTheme="majorHAnsi" w:eastAsiaTheme="majorEastAsia" w:hAnsiTheme="majorHAnsi" w:cstheme="majorBidi"/>
      <w:i/>
      <w:iCs/>
      <w:color w:val="0F6FC6" w:themeColor="accent1"/>
      <w:spacing w:val="15"/>
      <w:sz w:val="24"/>
      <w:szCs w:val="24"/>
      <w:lang w:eastAsia="ja-JP"/>
    </w:rPr>
  </w:style>
  <w:style w:type="paragraph" w:styleId="NoSpacing">
    <w:name w:val="No Spacing"/>
    <w:link w:val="NoSpacingChar"/>
    <w:uiPriority w:val="1"/>
    <w:qFormat/>
    <w:rsid w:val="001E10A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E10A2"/>
    <w:rPr>
      <w:rFonts w:eastAsiaTheme="minorEastAsia"/>
      <w:lang w:eastAsia="ja-JP"/>
    </w:rPr>
  </w:style>
  <w:style w:type="paragraph" w:styleId="Header">
    <w:name w:val="header"/>
    <w:basedOn w:val="Normal"/>
    <w:link w:val="HeaderChar"/>
    <w:uiPriority w:val="99"/>
    <w:unhideWhenUsed/>
    <w:rsid w:val="001E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0A2"/>
    <w:rPr>
      <w:lang w:val="en-CA"/>
    </w:rPr>
  </w:style>
  <w:style w:type="paragraph" w:styleId="Footer">
    <w:name w:val="footer"/>
    <w:basedOn w:val="Normal"/>
    <w:link w:val="FooterChar"/>
    <w:uiPriority w:val="99"/>
    <w:unhideWhenUsed/>
    <w:rsid w:val="001E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0A2"/>
    <w:rPr>
      <w:lang w:val="en-CA"/>
    </w:rPr>
  </w:style>
  <w:style w:type="paragraph" w:styleId="FootnoteText">
    <w:name w:val="footnote text"/>
    <w:basedOn w:val="Normal"/>
    <w:link w:val="FootnoteTextChar"/>
    <w:uiPriority w:val="99"/>
    <w:unhideWhenUsed/>
    <w:rsid w:val="002A2AAC"/>
    <w:pPr>
      <w:spacing w:after="0" w:line="240" w:lineRule="auto"/>
    </w:pPr>
    <w:rPr>
      <w:sz w:val="20"/>
      <w:szCs w:val="20"/>
    </w:rPr>
  </w:style>
  <w:style w:type="character" w:customStyle="1" w:styleId="FootnoteTextChar">
    <w:name w:val="Footnote Text Char"/>
    <w:basedOn w:val="DefaultParagraphFont"/>
    <w:link w:val="FootnoteText"/>
    <w:uiPriority w:val="99"/>
    <w:rsid w:val="002A2AAC"/>
    <w:rPr>
      <w:sz w:val="20"/>
      <w:szCs w:val="20"/>
      <w:lang w:val="en-CA"/>
    </w:rPr>
  </w:style>
  <w:style w:type="character" w:styleId="FootnoteReference">
    <w:name w:val="footnote reference"/>
    <w:basedOn w:val="DefaultParagraphFont"/>
    <w:uiPriority w:val="99"/>
    <w:unhideWhenUsed/>
    <w:rsid w:val="002A2AAC"/>
    <w:rPr>
      <w:vertAlign w:val="superscript"/>
    </w:rPr>
  </w:style>
  <w:style w:type="character" w:customStyle="1" w:styleId="Heading2Char">
    <w:name w:val="Heading 2 Char"/>
    <w:basedOn w:val="DefaultParagraphFont"/>
    <w:link w:val="Heading2"/>
    <w:uiPriority w:val="9"/>
    <w:rsid w:val="004F0093"/>
    <w:rPr>
      <w:rFonts w:eastAsiaTheme="majorEastAsia" w:cstheme="minorHAnsi"/>
      <w:b/>
      <w:bCs/>
      <w:sz w:val="24"/>
      <w:szCs w:val="26"/>
      <w:u w:val="single"/>
      <w:lang w:val="en-CA"/>
    </w:rPr>
  </w:style>
  <w:style w:type="paragraph" w:styleId="EndnoteText">
    <w:name w:val="endnote text"/>
    <w:basedOn w:val="Normal"/>
    <w:link w:val="EndnoteTextChar"/>
    <w:uiPriority w:val="99"/>
    <w:unhideWhenUsed/>
    <w:rsid w:val="007B4B46"/>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7B4B46"/>
    <w:rPr>
      <w:rFonts w:eastAsiaTheme="minorEastAsia"/>
      <w:sz w:val="20"/>
      <w:szCs w:val="20"/>
    </w:rPr>
  </w:style>
  <w:style w:type="character" w:styleId="EndnoteReference">
    <w:name w:val="endnote reference"/>
    <w:basedOn w:val="DefaultParagraphFont"/>
    <w:uiPriority w:val="99"/>
    <w:semiHidden/>
    <w:unhideWhenUsed/>
    <w:rsid w:val="007B4B46"/>
    <w:rPr>
      <w:vertAlign w:val="superscript"/>
    </w:rPr>
  </w:style>
  <w:style w:type="character" w:styleId="CommentReference">
    <w:name w:val="annotation reference"/>
    <w:basedOn w:val="DefaultParagraphFont"/>
    <w:uiPriority w:val="99"/>
    <w:semiHidden/>
    <w:unhideWhenUsed/>
    <w:rsid w:val="00E57E0D"/>
    <w:rPr>
      <w:sz w:val="16"/>
      <w:szCs w:val="16"/>
    </w:rPr>
  </w:style>
  <w:style w:type="paragraph" w:styleId="CommentText">
    <w:name w:val="annotation text"/>
    <w:basedOn w:val="Normal"/>
    <w:link w:val="CommentTextChar"/>
    <w:uiPriority w:val="99"/>
    <w:semiHidden/>
    <w:unhideWhenUsed/>
    <w:rsid w:val="00E57E0D"/>
    <w:pPr>
      <w:spacing w:line="240" w:lineRule="auto"/>
    </w:pPr>
    <w:rPr>
      <w:sz w:val="20"/>
      <w:szCs w:val="20"/>
    </w:rPr>
  </w:style>
  <w:style w:type="character" w:customStyle="1" w:styleId="CommentTextChar">
    <w:name w:val="Comment Text Char"/>
    <w:basedOn w:val="DefaultParagraphFont"/>
    <w:link w:val="CommentText"/>
    <w:uiPriority w:val="99"/>
    <w:semiHidden/>
    <w:rsid w:val="00E57E0D"/>
    <w:rPr>
      <w:sz w:val="20"/>
      <w:szCs w:val="20"/>
      <w:lang w:val="en-CA"/>
    </w:rPr>
  </w:style>
  <w:style w:type="paragraph" w:styleId="CommentSubject">
    <w:name w:val="annotation subject"/>
    <w:basedOn w:val="CommentText"/>
    <w:next w:val="CommentText"/>
    <w:link w:val="CommentSubjectChar"/>
    <w:uiPriority w:val="99"/>
    <w:semiHidden/>
    <w:unhideWhenUsed/>
    <w:rsid w:val="00E57E0D"/>
    <w:rPr>
      <w:b/>
      <w:bCs/>
    </w:rPr>
  </w:style>
  <w:style w:type="character" w:customStyle="1" w:styleId="CommentSubjectChar">
    <w:name w:val="Comment Subject Char"/>
    <w:basedOn w:val="CommentTextChar"/>
    <w:link w:val="CommentSubject"/>
    <w:uiPriority w:val="99"/>
    <w:semiHidden/>
    <w:rsid w:val="00E57E0D"/>
    <w:rPr>
      <w:b/>
      <w:bCs/>
      <w:sz w:val="20"/>
      <w:szCs w:val="20"/>
      <w:lang w:val="en-CA"/>
    </w:rPr>
  </w:style>
  <w:style w:type="character" w:styleId="Hyperlink">
    <w:name w:val="Hyperlink"/>
    <w:basedOn w:val="DefaultParagraphFont"/>
    <w:uiPriority w:val="99"/>
    <w:unhideWhenUsed/>
    <w:rsid w:val="00C63906"/>
    <w:rPr>
      <w:color w:val="F49100" w:themeColor="hyperlink"/>
      <w:u w:val="single"/>
    </w:rPr>
  </w:style>
  <w:style w:type="character" w:customStyle="1" w:styleId="UnresolvedMention1">
    <w:name w:val="Unresolved Mention1"/>
    <w:basedOn w:val="DefaultParagraphFont"/>
    <w:uiPriority w:val="99"/>
    <w:semiHidden/>
    <w:unhideWhenUsed/>
    <w:rsid w:val="00C70D85"/>
    <w:rPr>
      <w:color w:val="808080"/>
      <w:shd w:val="clear" w:color="auto" w:fill="E6E6E6"/>
    </w:rPr>
  </w:style>
  <w:style w:type="character" w:customStyle="1" w:styleId="Heading4Char">
    <w:name w:val="Heading 4 Char"/>
    <w:basedOn w:val="DefaultParagraphFont"/>
    <w:link w:val="Heading4"/>
    <w:uiPriority w:val="9"/>
    <w:rsid w:val="00D15AFF"/>
    <w:rPr>
      <w:rFonts w:asciiTheme="majorHAnsi" w:eastAsiaTheme="majorEastAsia" w:hAnsiTheme="majorHAnsi" w:cstheme="majorBidi"/>
      <w:i/>
      <w:iCs/>
      <w:color w:val="0B5294" w:themeColor="accent1" w:themeShade="BF"/>
      <w:lang w:val="en-CA"/>
    </w:rPr>
  </w:style>
  <w:style w:type="character" w:customStyle="1" w:styleId="UnresolvedMention2">
    <w:name w:val="Unresolved Mention2"/>
    <w:basedOn w:val="DefaultParagraphFont"/>
    <w:uiPriority w:val="99"/>
    <w:semiHidden/>
    <w:unhideWhenUsed/>
    <w:rsid w:val="001D1BA3"/>
    <w:rPr>
      <w:color w:val="605E5C"/>
      <w:shd w:val="clear" w:color="auto" w:fill="E1DFDD"/>
    </w:rPr>
  </w:style>
  <w:style w:type="character" w:styleId="FollowedHyperlink">
    <w:name w:val="FollowedHyperlink"/>
    <w:basedOn w:val="DefaultParagraphFont"/>
    <w:uiPriority w:val="99"/>
    <w:semiHidden/>
    <w:unhideWhenUsed/>
    <w:rsid w:val="001D1BA3"/>
    <w:rPr>
      <w:color w:val="85DFD0" w:themeColor="followedHyperlink"/>
      <w:u w:val="single"/>
    </w:rPr>
  </w:style>
  <w:style w:type="paragraph" w:styleId="TOC1">
    <w:name w:val="toc 1"/>
    <w:basedOn w:val="Normal"/>
    <w:next w:val="Normal"/>
    <w:autoRedefine/>
    <w:uiPriority w:val="39"/>
    <w:unhideWhenUsed/>
    <w:rsid w:val="00DB0FE8"/>
    <w:pPr>
      <w:spacing w:after="100"/>
    </w:pPr>
  </w:style>
  <w:style w:type="paragraph" w:styleId="TOC2">
    <w:name w:val="toc 2"/>
    <w:basedOn w:val="Normal"/>
    <w:next w:val="Normal"/>
    <w:autoRedefine/>
    <w:uiPriority w:val="39"/>
    <w:unhideWhenUsed/>
    <w:rsid w:val="00DB0FE8"/>
    <w:pPr>
      <w:spacing w:after="100"/>
      <w:ind w:left="220"/>
    </w:pPr>
  </w:style>
  <w:style w:type="character" w:customStyle="1" w:styleId="UnresolvedMention3">
    <w:name w:val="Unresolved Mention3"/>
    <w:basedOn w:val="DefaultParagraphFont"/>
    <w:uiPriority w:val="99"/>
    <w:semiHidden/>
    <w:unhideWhenUsed/>
    <w:rsid w:val="0094393A"/>
    <w:rPr>
      <w:color w:val="808080"/>
      <w:shd w:val="clear" w:color="auto" w:fill="E6E6E6"/>
    </w:rPr>
  </w:style>
  <w:style w:type="character" w:customStyle="1" w:styleId="UnresolvedMention4">
    <w:name w:val="Unresolved Mention4"/>
    <w:basedOn w:val="DefaultParagraphFont"/>
    <w:uiPriority w:val="99"/>
    <w:semiHidden/>
    <w:unhideWhenUsed/>
    <w:rsid w:val="00F566CE"/>
    <w:rPr>
      <w:color w:val="808080"/>
      <w:shd w:val="clear" w:color="auto" w:fill="E6E6E6"/>
    </w:rPr>
  </w:style>
  <w:style w:type="character" w:customStyle="1" w:styleId="UnresolvedMention5">
    <w:name w:val="Unresolved Mention5"/>
    <w:basedOn w:val="DefaultParagraphFont"/>
    <w:uiPriority w:val="99"/>
    <w:semiHidden/>
    <w:unhideWhenUsed/>
    <w:rsid w:val="00A31888"/>
    <w:rPr>
      <w:color w:val="808080"/>
      <w:shd w:val="clear" w:color="auto" w:fill="E6E6E6"/>
    </w:rPr>
  </w:style>
  <w:style w:type="character" w:customStyle="1" w:styleId="UnresolvedMention6">
    <w:name w:val="Unresolved Mention6"/>
    <w:basedOn w:val="DefaultParagraphFont"/>
    <w:uiPriority w:val="99"/>
    <w:semiHidden/>
    <w:unhideWhenUsed/>
    <w:rsid w:val="00AF08AA"/>
    <w:rPr>
      <w:color w:val="808080"/>
      <w:shd w:val="clear" w:color="auto" w:fill="E6E6E6"/>
    </w:rPr>
  </w:style>
  <w:style w:type="paragraph" w:styleId="Revision">
    <w:name w:val="Revision"/>
    <w:hidden/>
    <w:uiPriority w:val="99"/>
    <w:semiHidden/>
    <w:rsid w:val="00970A48"/>
    <w:pPr>
      <w:spacing w:after="0" w:line="240" w:lineRule="auto"/>
    </w:pPr>
    <w:rPr>
      <w:lang w:val="en-CA"/>
    </w:rPr>
  </w:style>
  <w:style w:type="paragraph" w:styleId="TOCHeading">
    <w:name w:val="TOC Heading"/>
    <w:basedOn w:val="Heading1"/>
    <w:next w:val="Normal"/>
    <w:uiPriority w:val="39"/>
    <w:unhideWhenUsed/>
    <w:qFormat/>
    <w:rsid w:val="006757FF"/>
    <w:pPr>
      <w:spacing w:before="240" w:line="259" w:lineRule="auto"/>
      <w:outlineLvl w:val="9"/>
    </w:pPr>
    <w:rPr>
      <w:rFonts w:asciiTheme="majorHAnsi" w:hAnsiTheme="majorHAnsi"/>
      <w:b w:val="0"/>
      <w:bCs w:val="0"/>
      <w:color w:val="0B5294" w:themeColor="accent1" w:themeShade="BF"/>
      <w:sz w:val="32"/>
      <w:szCs w:val="32"/>
    </w:rPr>
  </w:style>
  <w:style w:type="character" w:customStyle="1" w:styleId="UnresolvedMention7">
    <w:name w:val="Unresolved Mention7"/>
    <w:basedOn w:val="DefaultParagraphFont"/>
    <w:uiPriority w:val="99"/>
    <w:semiHidden/>
    <w:unhideWhenUsed/>
    <w:rsid w:val="00023692"/>
    <w:rPr>
      <w:color w:val="808080"/>
      <w:shd w:val="clear" w:color="auto" w:fill="E6E6E6"/>
    </w:rPr>
  </w:style>
  <w:style w:type="paragraph" w:styleId="BodyText">
    <w:name w:val="Body Text"/>
    <w:basedOn w:val="Normal"/>
    <w:link w:val="BodyTextChar"/>
    <w:uiPriority w:val="1"/>
    <w:qFormat/>
    <w:rsid w:val="000255A2"/>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0255A2"/>
    <w:rPr>
      <w:rFonts w:ascii="Arial" w:eastAsia="Arial" w:hAnsi="Arial" w:cs="Arial"/>
      <w:lang w:bidi="en-US"/>
    </w:rPr>
  </w:style>
  <w:style w:type="paragraph" w:styleId="NormalWeb">
    <w:name w:val="Normal (Web)"/>
    <w:basedOn w:val="Normal"/>
    <w:uiPriority w:val="99"/>
    <w:semiHidden/>
    <w:unhideWhenUsed/>
    <w:rsid w:val="00F62BFF"/>
    <w:rPr>
      <w:rFonts w:ascii="Times New Roman" w:hAnsi="Times New Roman" w:cs="Times New Roman"/>
      <w:sz w:val="24"/>
      <w:szCs w:val="24"/>
    </w:rPr>
  </w:style>
  <w:style w:type="character" w:customStyle="1" w:styleId="Heading3Char">
    <w:name w:val="Heading 3 Char"/>
    <w:basedOn w:val="DefaultParagraphFont"/>
    <w:link w:val="Heading3"/>
    <w:uiPriority w:val="9"/>
    <w:rsid w:val="00C307DB"/>
    <w:rPr>
      <w:rFonts w:cs="Arial"/>
      <w:b/>
      <w:bCs/>
      <w:sz w:val="24"/>
      <w:szCs w:val="24"/>
      <w:lang w:val="en-CA"/>
    </w:rPr>
  </w:style>
  <w:style w:type="character" w:customStyle="1" w:styleId="UnresolvedMention8">
    <w:name w:val="Unresolved Mention8"/>
    <w:basedOn w:val="DefaultParagraphFont"/>
    <w:uiPriority w:val="99"/>
    <w:semiHidden/>
    <w:unhideWhenUsed/>
    <w:rsid w:val="00140670"/>
    <w:rPr>
      <w:color w:val="605E5C"/>
      <w:shd w:val="clear" w:color="auto" w:fill="E1DFDD"/>
    </w:rPr>
  </w:style>
  <w:style w:type="paragraph" w:customStyle="1" w:styleId="Reccomendations">
    <w:name w:val="Reccomendations"/>
    <w:basedOn w:val="ListParagraph"/>
    <w:link w:val="ReccomendationsChar"/>
    <w:qFormat/>
    <w:rsid w:val="0018217B"/>
    <w:pPr>
      <w:numPr>
        <w:numId w:val="7"/>
      </w:numPr>
      <w:spacing w:after="0" w:line="240" w:lineRule="auto"/>
      <w:contextualSpacing w:val="0"/>
    </w:pPr>
    <w:rPr>
      <w:rFonts w:eastAsia="Times New Roman"/>
    </w:rPr>
  </w:style>
  <w:style w:type="character" w:customStyle="1" w:styleId="ReccomendationsChar">
    <w:name w:val="Reccomendations Char"/>
    <w:basedOn w:val="DefaultParagraphFont"/>
    <w:link w:val="Reccomendations"/>
    <w:rsid w:val="0018217B"/>
    <w:rPr>
      <w:rFonts w:eastAsia="Times New Roman"/>
      <w:lang w:val="en-CA"/>
    </w:rPr>
  </w:style>
  <w:style w:type="character" w:customStyle="1" w:styleId="ListParagraphChar">
    <w:name w:val="List Paragraph Char"/>
    <w:basedOn w:val="DefaultParagraphFont"/>
    <w:link w:val="ListParagraph"/>
    <w:uiPriority w:val="34"/>
    <w:rsid w:val="00C74056"/>
    <w:rPr>
      <w:lang w:val="en-CA"/>
    </w:rPr>
  </w:style>
  <w:style w:type="character" w:customStyle="1" w:styleId="UnresolvedMention9">
    <w:name w:val="Unresolved Mention9"/>
    <w:basedOn w:val="DefaultParagraphFont"/>
    <w:uiPriority w:val="99"/>
    <w:semiHidden/>
    <w:unhideWhenUsed/>
    <w:rsid w:val="00B522BF"/>
    <w:rPr>
      <w:color w:val="605E5C"/>
      <w:shd w:val="clear" w:color="auto" w:fill="E1DFDD"/>
    </w:rPr>
  </w:style>
  <w:style w:type="character" w:customStyle="1" w:styleId="UnresolvedMention10">
    <w:name w:val="Unresolved Mention10"/>
    <w:basedOn w:val="DefaultParagraphFont"/>
    <w:uiPriority w:val="99"/>
    <w:semiHidden/>
    <w:unhideWhenUsed/>
    <w:rsid w:val="00137886"/>
    <w:rPr>
      <w:color w:val="605E5C"/>
      <w:shd w:val="clear" w:color="auto" w:fill="E1DFDD"/>
    </w:rPr>
  </w:style>
  <w:style w:type="paragraph" w:customStyle="1" w:styleId="Default">
    <w:name w:val="Default"/>
    <w:rsid w:val="00515B73"/>
    <w:pPr>
      <w:autoSpaceDE w:val="0"/>
      <w:autoSpaceDN w:val="0"/>
      <w:adjustRightInd w:val="0"/>
      <w:spacing w:after="0" w:line="240" w:lineRule="auto"/>
    </w:pPr>
    <w:rPr>
      <w:rFonts w:ascii="Arial" w:hAnsi="Arial" w:cs="Arial"/>
      <w:color w:val="000000"/>
      <w:sz w:val="24"/>
      <w:szCs w:val="24"/>
      <w:lang w:val="en-CA"/>
    </w:rPr>
  </w:style>
  <w:style w:type="character" w:styleId="Emphasis">
    <w:name w:val="Emphasis"/>
    <w:basedOn w:val="DefaultParagraphFont"/>
    <w:uiPriority w:val="20"/>
    <w:qFormat/>
    <w:rsid w:val="008B66C0"/>
    <w:rPr>
      <w:i/>
      <w:iCs/>
    </w:rPr>
  </w:style>
  <w:style w:type="paragraph" w:customStyle="1" w:styleId="Hyperlink1">
    <w:name w:val="Hyperlink1"/>
    <w:basedOn w:val="FootnoteText"/>
    <w:link w:val="hyperlinkChar"/>
    <w:autoRedefine/>
    <w:qFormat/>
    <w:rsid w:val="00513628"/>
    <w:rPr>
      <w:i/>
      <w:color w:val="33058D"/>
      <w:sz w:val="22"/>
    </w:rPr>
  </w:style>
  <w:style w:type="character" w:styleId="Strong">
    <w:name w:val="Strong"/>
    <w:basedOn w:val="DefaultParagraphFont"/>
    <w:uiPriority w:val="22"/>
    <w:qFormat/>
    <w:rsid w:val="008B66C0"/>
    <w:rPr>
      <w:b/>
      <w:bCs/>
    </w:rPr>
  </w:style>
  <w:style w:type="character" w:customStyle="1" w:styleId="hyperlinkChar">
    <w:name w:val="hyperlink Char"/>
    <w:basedOn w:val="FootnoteTextChar"/>
    <w:link w:val="Hyperlink1"/>
    <w:rsid w:val="00513628"/>
    <w:rPr>
      <w:i/>
      <w:color w:val="33058D"/>
      <w:sz w:val="20"/>
      <w:szCs w:val="20"/>
      <w:lang w:val="en-CA"/>
    </w:rPr>
  </w:style>
  <w:style w:type="paragraph" w:customStyle="1" w:styleId="paragraph">
    <w:name w:val="paragraph"/>
    <w:basedOn w:val="Normal"/>
    <w:rsid w:val="00E22CB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nresolvedMention11">
    <w:name w:val="Unresolved Mention11"/>
    <w:basedOn w:val="DefaultParagraphFont"/>
    <w:uiPriority w:val="99"/>
    <w:semiHidden/>
    <w:unhideWhenUsed/>
    <w:rsid w:val="00D82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405">
      <w:bodyDiv w:val="1"/>
      <w:marLeft w:val="0"/>
      <w:marRight w:val="0"/>
      <w:marTop w:val="0"/>
      <w:marBottom w:val="0"/>
      <w:divBdr>
        <w:top w:val="none" w:sz="0" w:space="0" w:color="auto"/>
        <w:left w:val="none" w:sz="0" w:space="0" w:color="auto"/>
        <w:bottom w:val="none" w:sz="0" w:space="0" w:color="auto"/>
        <w:right w:val="none" w:sz="0" w:space="0" w:color="auto"/>
      </w:divBdr>
      <w:divsChild>
        <w:div w:id="1655379165">
          <w:marLeft w:val="0"/>
          <w:marRight w:val="0"/>
          <w:marTop w:val="0"/>
          <w:marBottom w:val="0"/>
          <w:divBdr>
            <w:top w:val="none" w:sz="0" w:space="0" w:color="auto"/>
            <w:left w:val="none" w:sz="0" w:space="0" w:color="auto"/>
            <w:bottom w:val="none" w:sz="0" w:space="0" w:color="auto"/>
            <w:right w:val="none" w:sz="0" w:space="0" w:color="auto"/>
          </w:divBdr>
          <w:divsChild>
            <w:div w:id="110101930">
              <w:marLeft w:val="0"/>
              <w:marRight w:val="0"/>
              <w:marTop w:val="0"/>
              <w:marBottom w:val="0"/>
              <w:divBdr>
                <w:top w:val="none" w:sz="0" w:space="0" w:color="auto"/>
                <w:left w:val="none" w:sz="0" w:space="0" w:color="auto"/>
                <w:bottom w:val="none" w:sz="0" w:space="0" w:color="auto"/>
                <w:right w:val="none" w:sz="0" w:space="0" w:color="auto"/>
              </w:divBdr>
              <w:divsChild>
                <w:div w:id="785850954">
                  <w:marLeft w:val="0"/>
                  <w:marRight w:val="0"/>
                  <w:marTop w:val="0"/>
                  <w:marBottom w:val="0"/>
                  <w:divBdr>
                    <w:top w:val="none" w:sz="0" w:space="0" w:color="auto"/>
                    <w:left w:val="none" w:sz="0" w:space="0" w:color="auto"/>
                    <w:bottom w:val="none" w:sz="0" w:space="0" w:color="auto"/>
                    <w:right w:val="none" w:sz="0" w:space="0" w:color="auto"/>
                  </w:divBdr>
                  <w:divsChild>
                    <w:div w:id="8163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7553">
      <w:bodyDiv w:val="1"/>
      <w:marLeft w:val="0"/>
      <w:marRight w:val="0"/>
      <w:marTop w:val="0"/>
      <w:marBottom w:val="0"/>
      <w:divBdr>
        <w:top w:val="none" w:sz="0" w:space="0" w:color="auto"/>
        <w:left w:val="none" w:sz="0" w:space="0" w:color="auto"/>
        <w:bottom w:val="none" w:sz="0" w:space="0" w:color="auto"/>
        <w:right w:val="none" w:sz="0" w:space="0" w:color="auto"/>
      </w:divBdr>
    </w:div>
    <w:div w:id="84963817">
      <w:bodyDiv w:val="1"/>
      <w:marLeft w:val="0"/>
      <w:marRight w:val="0"/>
      <w:marTop w:val="0"/>
      <w:marBottom w:val="0"/>
      <w:divBdr>
        <w:top w:val="none" w:sz="0" w:space="0" w:color="auto"/>
        <w:left w:val="none" w:sz="0" w:space="0" w:color="auto"/>
        <w:bottom w:val="none" w:sz="0" w:space="0" w:color="auto"/>
        <w:right w:val="none" w:sz="0" w:space="0" w:color="auto"/>
      </w:divBdr>
    </w:div>
    <w:div w:id="112675055">
      <w:bodyDiv w:val="1"/>
      <w:marLeft w:val="0"/>
      <w:marRight w:val="0"/>
      <w:marTop w:val="0"/>
      <w:marBottom w:val="0"/>
      <w:divBdr>
        <w:top w:val="none" w:sz="0" w:space="0" w:color="auto"/>
        <w:left w:val="none" w:sz="0" w:space="0" w:color="auto"/>
        <w:bottom w:val="none" w:sz="0" w:space="0" w:color="auto"/>
        <w:right w:val="none" w:sz="0" w:space="0" w:color="auto"/>
      </w:divBdr>
      <w:divsChild>
        <w:div w:id="1641421599">
          <w:marLeft w:val="0"/>
          <w:marRight w:val="0"/>
          <w:marTop w:val="0"/>
          <w:marBottom w:val="0"/>
          <w:divBdr>
            <w:top w:val="none" w:sz="0" w:space="0" w:color="auto"/>
            <w:left w:val="none" w:sz="0" w:space="0" w:color="auto"/>
            <w:bottom w:val="none" w:sz="0" w:space="0" w:color="auto"/>
            <w:right w:val="none" w:sz="0" w:space="0" w:color="auto"/>
          </w:divBdr>
          <w:divsChild>
            <w:div w:id="1758597394">
              <w:marLeft w:val="0"/>
              <w:marRight w:val="0"/>
              <w:marTop w:val="0"/>
              <w:marBottom w:val="0"/>
              <w:divBdr>
                <w:top w:val="none" w:sz="0" w:space="0" w:color="auto"/>
                <w:left w:val="none" w:sz="0" w:space="0" w:color="auto"/>
                <w:bottom w:val="none" w:sz="0" w:space="0" w:color="auto"/>
                <w:right w:val="none" w:sz="0" w:space="0" w:color="auto"/>
              </w:divBdr>
              <w:divsChild>
                <w:div w:id="1171530086">
                  <w:marLeft w:val="0"/>
                  <w:marRight w:val="0"/>
                  <w:marTop w:val="0"/>
                  <w:marBottom w:val="0"/>
                  <w:divBdr>
                    <w:top w:val="none" w:sz="0" w:space="0" w:color="auto"/>
                    <w:left w:val="none" w:sz="0" w:space="0" w:color="auto"/>
                    <w:bottom w:val="none" w:sz="0" w:space="0" w:color="auto"/>
                    <w:right w:val="none" w:sz="0" w:space="0" w:color="auto"/>
                  </w:divBdr>
                  <w:divsChild>
                    <w:div w:id="9091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5844">
      <w:bodyDiv w:val="1"/>
      <w:marLeft w:val="0"/>
      <w:marRight w:val="0"/>
      <w:marTop w:val="0"/>
      <w:marBottom w:val="0"/>
      <w:divBdr>
        <w:top w:val="none" w:sz="0" w:space="0" w:color="auto"/>
        <w:left w:val="none" w:sz="0" w:space="0" w:color="auto"/>
        <w:bottom w:val="none" w:sz="0" w:space="0" w:color="auto"/>
        <w:right w:val="none" w:sz="0" w:space="0" w:color="auto"/>
      </w:divBdr>
    </w:div>
    <w:div w:id="462817445">
      <w:bodyDiv w:val="1"/>
      <w:marLeft w:val="0"/>
      <w:marRight w:val="0"/>
      <w:marTop w:val="0"/>
      <w:marBottom w:val="0"/>
      <w:divBdr>
        <w:top w:val="none" w:sz="0" w:space="0" w:color="auto"/>
        <w:left w:val="none" w:sz="0" w:space="0" w:color="auto"/>
        <w:bottom w:val="none" w:sz="0" w:space="0" w:color="auto"/>
        <w:right w:val="none" w:sz="0" w:space="0" w:color="auto"/>
      </w:divBdr>
    </w:div>
    <w:div w:id="535779254">
      <w:bodyDiv w:val="1"/>
      <w:marLeft w:val="0"/>
      <w:marRight w:val="0"/>
      <w:marTop w:val="0"/>
      <w:marBottom w:val="0"/>
      <w:divBdr>
        <w:top w:val="none" w:sz="0" w:space="0" w:color="auto"/>
        <w:left w:val="none" w:sz="0" w:space="0" w:color="auto"/>
        <w:bottom w:val="none" w:sz="0" w:space="0" w:color="auto"/>
        <w:right w:val="none" w:sz="0" w:space="0" w:color="auto"/>
      </w:divBdr>
      <w:divsChild>
        <w:div w:id="218788759">
          <w:marLeft w:val="0"/>
          <w:marRight w:val="0"/>
          <w:marTop w:val="0"/>
          <w:marBottom w:val="0"/>
          <w:divBdr>
            <w:top w:val="none" w:sz="0" w:space="0" w:color="auto"/>
            <w:left w:val="none" w:sz="0" w:space="0" w:color="auto"/>
            <w:bottom w:val="none" w:sz="0" w:space="0" w:color="auto"/>
            <w:right w:val="none" w:sz="0" w:space="0" w:color="auto"/>
          </w:divBdr>
          <w:divsChild>
            <w:div w:id="19475029">
              <w:marLeft w:val="0"/>
              <w:marRight w:val="0"/>
              <w:marTop w:val="0"/>
              <w:marBottom w:val="0"/>
              <w:divBdr>
                <w:top w:val="none" w:sz="0" w:space="0" w:color="auto"/>
                <w:left w:val="none" w:sz="0" w:space="0" w:color="auto"/>
                <w:bottom w:val="none" w:sz="0" w:space="0" w:color="auto"/>
                <w:right w:val="none" w:sz="0" w:space="0" w:color="auto"/>
              </w:divBdr>
              <w:divsChild>
                <w:div w:id="1921137985">
                  <w:marLeft w:val="0"/>
                  <w:marRight w:val="0"/>
                  <w:marTop w:val="0"/>
                  <w:marBottom w:val="0"/>
                  <w:divBdr>
                    <w:top w:val="none" w:sz="0" w:space="0" w:color="auto"/>
                    <w:left w:val="none" w:sz="0" w:space="0" w:color="auto"/>
                    <w:bottom w:val="none" w:sz="0" w:space="0" w:color="auto"/>
                    <w:right w:val="none" w:sz="0" w:space="0" w:color="auto"/>
                  </w:divBdr>
                  <w:divsChild>
                    <w:div w:id="1773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9788">
      <w:bodyDiv w:val="1"/>
      <w:marLeft w:val="0"/>
      <w:marRight w:val="0"/>
      <w:marTop w:val="0"/>
      <w:marBottom w:val="0"/>
      <w:divBdr>
        <w:top w:val="none" w:sz="0" w:space="0" w:color="auto"/>
        <w:left w:val="none" w:sz="0" w:space="0" w:color="auto"/>
        <w:bottom w:val="none" w:sz="0" w:space="0" w:color="auto"/>
        <w:right w:val="none" w:sz="0" w:space="0" w:color="auto"/>
      </w:divBdr>
      <w:divsChild>
        <w:div w:id="229392269">
          <w:marLeft w:val="0"/>
          <w:marRight w:val="0"/>
          <w:marTop w:val="0"/>
          <w:marBottom w:val="0"/>
          <w:divBdr>
            <w:top w:val="none" w:sz="0" w:space="0" w:color="auto"/>
            <w:left w:val="none" w:sz="0" w:space="0" w:color="auto"/>
            <w:bottom w:val="none" w:sz="0" w:space="0" w:color="auto"/>
            <w:right w:val="none" w:sz="0" w:space="0" w:color="auto"/>
          </w:divBdr>
          <w:divsChild>
            <w:div w:id="2146000346">
              <w:marLeft w:val="0"/>
              <w:marRight w:val="0"/>
              <w:marTop w:val="0"/>
              <w:marBottom w:val="0"/>
              <w:divBdr>
                <w:top w:val="none" w:sz="0" w:space="0" w:color="auto"/>
                <w:left w:val="none" w:sz="0" w:space="0" w:color="auto"/>
                <w:bottom w:val="none" w:sz="0" w:space="0" w:color="auto"/>
                <w:right w:val="none" w:sz="0" w:space="0" w:color="auto"/>
              </w:divBdr>
              <w:divsChild>
                <w:div w:id="1970474055">
                  <w:marLeft w:val="0"/>
                  <w:marRight w:val="0"/>
                  <w:marTop w:val="0"/>
                  <w:marBottom w:val="0"/>
                  <w:divBdr>
                    <w:top w:val="none" w:sz="0" w:space="0" w:color="auto"/>
                    <w:left w:val="none" w:sz="0" w:space="0" w:color="auto"/>
                    <w:bottom w:val="none" w:sz="0" w:space="0" w:color="auto"/>
                    <w:right w:val="none" w:sz="0" w:space="0" w:color="auto"/>
                  </w:divBdr>
                  <w:divsChild>
                    <w:div w:id="877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26136">
      <w:bodyDiv w:val="1"/>
      <w:marLeft w:val="0"/>
      <w:marRight w:val="0"/>
      <w:marTop w:val="0"/>
      <w:marBottom w:val="0"/>
      <w:divBdr>
        <w:top w:val="none" w:sz="0" w:space="0" w:color="auto"/>
        <w:left w:val="none" w:sz="0" w:space="0" w:color="auto"/>
        <w:bottom w:val="none" w:sz="0" w:space="0" w:color="auto"/>
        <w:right w:val="none" w:sz="0" w:space="0" w:color="auto"/>
      </w:divBdr>
    </w:div>
    <w:div w:id="645014136">
      <w:bodyDiv w:val="1"/>
      <w:marLeft w:val="0"/>
      <w:marRight w:val="0"/>
      <w:marTop w:val="0"/>
      <w:marBottom w:val="0"/>
      <w:divBdr>
        <w:top w:val="none" w:sz="0" w:space="0" w:color="auto"/>
        <w:left w:val="none" w:sz="0" w:space="0" w:color="auto"/>
        <w:bottom w:val="none" w:sz="0" w:space="0" w:color="auto"/>
        <w:right w:val="none" w:sz="0" w:space="0" w:color="auto"/>
      </w:divBdr>
    </w:div>
    <w:div w:id="824472119">
      <w:bodyDiv w:val="1"/>
      <w:marLeft w:val="0"/>
      <w:marRight w:val="0"/>
      <w:marTop w:val="0"/>
      <w:marBottom w:val="0"/>
      <w:divBdr>
        <w:top w:val="none" w:sz="0" w:space="0" w:color="auto"/>
        <w:left w:val="none" w:sz="0" w:space="0" w:color="auto"/>
        <w:bottom w:val="none" w:sz="0" w:space="0" w:color="auto"/>
        <w:right w:val="none" w:sz="0" w:space="0" w:color="auto"/>
      </w:divBdr>
    </w:div>
    <w:div w:id="868300344">
      <w:bodyDiv w:val="1"/>
      <w:marLeft w:val="0"/>
      <w:marRight w:val="0"/>
      <w:marTop w:val="0"/>
      <w:marBottom w:val="0"/>
      <w:divBdr>
        <w:top w:val="none" w:sz="0" w:space="0" w:color="auto"/>
        <w:left w:val="none" w:sz="0" w:space="0" w:color="auto"/>
        <w:bottom w:val="none" w:sz="0" w:space="0" w:color="auto"/>
        <w:right w:val="none" w:sz="0" w:space="0" w:color="auto"/>
      </w:divBdr>
    </w:div>
    <w:div w:id="906720502">
      <w:bodyDiv w:val="1"/>
      <w:marLeft w:val="0"/>
      <w:marRight w:val="0"/>
      <w:marTop w:val="0"/>
      <w:marBottom w:val="0"/>
      <w:divBdr>
        <w:top w:val="none" w:sz="0" w:space="0" w:color="auto"/>
        <w:left w:val="none" w:sz="0" w:space="0" w:color="auto"/>
        <w:bottom w:val="none" w:sz="0" w:space="0" w:color="auto"/>
        <w:right w:val="none" w:sz="0" w:space="0" w:color="auto"/>
      </w:divBdr>
    </w:div>
    <w:div w:id="965552216">
      <w:bodyDiv w:val="1"/>
      <w:marLeft w:val="0"/>
      <w:marRight w:val="0"/>
      <w:marTop w:val="0"/>
      <w:marBottom w:val="0"/>
      <w:divBdr>
        <w:top w:val="none" w:sz="0" w:space="0" w:color="auto"/>
        <w:left w:val="none" w:sz="0" w:space="0" w:color="auto"/>
        <w:bottom w:val="none" w:sz="0" w:space="0" w:color="auto"/>
        <w:right w:val="none" w:sz="0" w:space="0" w:color="auto"/>
      </w:divBdr>
    </w:div>
    <w:div w:id="1009478609">
      <w:bodyDiv w:val="1"/>
      <w:marLeft w:val="0"/>
      <w:marRight w:val="0"/>
      <w:marTop w:val="0"/>
      <w:marBottom w:val="0"/>
      <w:divBdr>
        <w:top w:val="none" w:sz="0" w:space="0" w:color="auto"/>
        <w:left w:val="none" w:sz="0" w:space="0" w:color="auto"/>
        <w:bottom w:val="none" w:sz="0" w:space="0" w:color="auto"/>
        <w:right w:val="none" w:sz="0" w:space="0" w:color="auto"/>
      </w:divBdr>
    </w:div>
    <w:div w:id="1143542260">
      <w:bodyDiv w:val="1"/>
      <w:marLeft w:val="0"/>
      <w:marRight w:val="0"/>
      <w:marTop w:val="0"/>
      <w:marBottom w:val="0"/>
      <w:divBdr>
        <w:top w:val="none" w:sz="0" w:space="0" w:color="auto"/>
        <w:left w:val="none" w:sz="0" w:space="0" w:color="auto"/>
        <w:bottom w:val="none" w:sz="0" w:space="0" w:color="auto"/>
        <w:right w:val="none" w:sz="0" w:space="0" w:color="auto"/>
      </w:divBdr>
      <w:divsChild>
        <w:div w:id="1186865463">
          <w:marLeft w:val="0"/>
          <w:marRight w:val="0"/>
          <w:marTop w:val="0"/>
          <w:marBottom w:val="0"/>
          <w:divBdr>
            <w:top w:val="none" w:sz="0" w:space="0" w:color="auto"/>
            <w:left w:val="none" w:sz="0" w:space="0" w:color="auto"/>
            <w:bottom w:val="none" w:sz="0" w:space="0" w:color="auto"/>
            <w:right w:val="none" w:sz="0" w:space="0" w:color="auto"/>
          </w:divBdr>
          <w:divsChild>
            <w:div w:id="630021719">
              <w:marLeft w:val="0"/>
              <w:marRight w:val="0"/>
              <w:marTop w:val="0"/>
              <w:marBottom w:val="0"/>
              <w:divBdr>
                <w:top w:val="none" w:sz="0" w:space="0" w:color="auto"/>
                <w:left w:val="none" w:sz="0" w:space="0" w:color="auto"/>
                <w:bottom w:val="none" w:sz="0" w:space="0" w:color="auto"/>
                <w:right w:val="none" w:sz="0" w:space="0" w:color="auto"/>
              </w:divBdr>
              <w:divsChild>
                <w:div w:id="1248685852">
                  <w:marLeft w:val="0"/>
                  <w:marRight w:val="0"/>
                  <w:marTop w:val="0"/>
                  <w:marBottom w:val="0"/>
                  <w:divBdr>
                    <w:top w:val="none" w:sz="0" w:space="0" w:color="auto"/>
                    <w:left w:val="none" w:sz="0" w:space="0" w:color="auto"/>
                    <w:bottom w:val="none" w:sz="0" w:space="0" w:color="auto"/>
                    <w:right w:val="none" w:sz="0" w:space="0" w:color="auto"/>
                  </w:divBdr>
                  <w:divsChild>
                    <w:div w:id="21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132091">
      <w:bodyDiv w:val="1"/>
      <w:marLeft w:val="0"/>
      <w:marRight w:val="0"/>
      <w:marTop w:val="0"/>
      <w:marBottom w:val="0"/>
      <w:divBdr>
        <w:top w:val="none" w:sz="0" w:space="0" w:color="auto"/>
        <w:left w:val="none" w:sz="0" w:space="0" w:color="auto"/>
        <w:bottom w:val="none" w:sz="0" w:space="0" w:color="auto"/>
        <w:right w:val="none" w:sz="0" w:space="0" w:color="auto"/>
      </w:divBdr>
      <w:divsChild>
        <w:div w:id="1822037365">
          <w:marLeft w:val="0"/>
          <w:marRight w:val="0"/>
          <w:marTop w:val="0"/>
          <w:marBottom w:val="0"/>
          <w:divBdr>
            <w:top w:val="none" w:sz="0" w:space="0" w:color="auto"/>
            <w:left w:val="none" w:sz="0" w:space="0" w:color="auto"/>
            <w:bottom w:val="none" w:sz="0" w:space="0" w:color="auto"/>
            <w:right w:val="none" w:sz="0" w:space="0" w:color="auto"/>
          </w:divBdr>
        </w:div>
        <w:div w:id="764110940">
          <w:marLeft w:val="0"/>
          <w:marRight w:val="0"/>
          <w:marTop w:val="0"/>
          <w:marBottom w:val="0"/>
          <w:divBdr>
            <w:top w:val="none" w:sz="0" w:space="0" w:color="auto"/>
            <w:left w:val="none" w:sz="0" w:space="0" w:color="auto"/>
            <w:bottom w:val="none" w:sz="0" w:space="0" w:color="auto"/>
            <w:right w:val="none" w:sz="0" w:space="0" w:color="auto"/>
          </w:divBdr>
        </w:div>
        <w:div w:id="919867869">
          <w:marLeft w:val="0"/>
          <w:marRight w:val="0"/>
          <w:marTop w:val="0"/>
          <w:marBottom w:val="0"/>
          <w:divBdr>
            <w:top w:val="none" w:sz="0" w:space="0" w:color="auto"/>
            <w:left w:val="none" w:sz="0" w:space="0" w:color="auto"/>
            <w:bottom w:val="none" w:sz="0" w:space="0" w:color="auto"/>
            <w:right w:val="none" w:sz="0" w:space="0" w:color="auto"/>
          </w:divBdr>
        </w:div>
        <w:div w:id="1786734244">
          <w:marLeft w:val="0"/>
          <w:marRight w:val="0"/>
          <w:marTop w:val="0"/>
          <w:marBottom w:val="0"/>
          <w:divBdr>
            <w:top w:val="none" w:sz="0" w:space="0" w:color="auto"/>
            <w:left w:val="none" w:sz="0" w:space="0" w:color="auto"/>
            <w:bottom w:val="none" w:sz="0" w:space="0" w:color="auto"/>
            <w:right w:val="none" w:sz="0" w:space="0" w:color="auto"/>
          </w:divBdr>
        </w:div>
      </w:divsChild>
    </w:div>
    <w:div w:id="1187789442">
      <w:bodyDiv w:val="1"/>
      <w:marLeft w:val="0"/>
      <w:marRight w:val="0"/>
      <w:marTop w:val="0"/>
      <w:marBottom w:val="0"/>
      <w:divBdr>
        <w:top w:val="none" w:sz="0" w:space="0" w:color="auto"/>
        <w:left w:val="none" w:sz="0" w:space="0" w:color="auto"/>
        <w:bottom w:val="none" w:sz="0" w:space="0" w:color="auto"/>
        <w:right w:val="none" w:sz="0" w:space="0" w:color="auto"/>
      </w:divBdr>
      <w:divsChild>
        <w:div w:id="182480492">
          <w:marLeft w:val="0"/>
          <w:marRight w:val="0"/>
          <w:marTop w:val="0"/>
          <w:marBottom w:val="0"/>
          <w:divBdr>
            <w:top w:val="none" w:sz="0" w:space="0" w:color="auto"/>
            <w:left w:val="none" w:sz="0" w:space="0" w:color="auto"/>
            <w:bottom w:val="none" w:sz="0" w:space="0" w:color="auto"/>
            <w:right w:val="none" w:sz="0" w:space="0" w:color="auto"/>
          </w:divBdr>
          <w:divsChild>
            <w:div w:id="2072534787">
              <w:marLeft w:val="0"/>
              <w:marRight w:val="0"/>
              <w:marTop w:val="0"/>
              <w:marBottom w:val="0"/>
              <w:divBdr>
                <w:top w:val="none" w:sz="0" w:space="0" w:color="auto"/>
                <w:left w:val="none" w:sz="0" w:space="0" w:color="auto"/>
                <w:bottom w:val="none" w:sz="0" w:space="0" w:color="auto"/>
                <w:right w:val="none" w:sz="0" w:space="0" w:color="auto"/>
              </w:divBdr>
              <w:divsChild>
                <w:div w:id="13854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5190">
      <w:bodyDiv w:val="1"/>
      <w:marLeft w:val="0"/>
      <w:marRight w:val="0"/>
      <w:marTop w:val="0"/>
      <w:marBottom w:val="0"/>
      <w:divBdr>
        <w:top w:val="none" w:sz="0" w:space="0" w:color="auto"/>
        <w:left w:val="none" w:sz="0" w:space="0" w:color="auto"/>
        <w:bottom w:val="none" w:sz="0" w:space="0" w:color="auto"/>
        <w:right w:val="none" w:sz="0" w:space="0" w:color="auto"/>
      </w:divBdr>
    </w:div>
    <w:div w:id="1588686211">
      <w:bodyDiv w:val="1"/>
      <w:marLeft w:val="0"/>
      <w:marRight w:val="0"/>
      <w:marTop w:val="0"/>
      <w:marBottom w:val="0"/>
      <w:divBdr>
        <w:top w:val="none" w:sz="0" w:space="0" w:color="auto"/>
        <w:left w:val="none" w:sz="0" w:space="0" w:color="auto"/>
        <w:bottom w:val="none" w:sz="0" w:space="0" w:color="auto"/>
        <w:right w:val="none" w:sz="0" w:space="0" w:color="auto"/>
      </w:divBdr>
    </w:div>
    <w:div w:id="1644966772">
      <w:bodyDiv w:val="1"/>
      <w:marLeft w:val="0"/>
      <w:marRight w:val="0"/>
      <w:marTop w:val="0"/>
      <w:marBottom w:val="0"/>
      <w:divBdr>
        <w:top w:val="none" w:sz="0" w:space="0" w:color="auto"/>
        <w:left w:val="none" w:sz="0" w:space="0" w:color="auto"/>
        <w:bottom w:val="none" w:sz="0" w:space="0" w:color="auto"/>
        <w:right w:val="none" w:sz="0" w:space="0" w:color="auto"/>
      </w:divBdr>
      <w:divsChild>
        <w:div w:id="1808694153">
          <w:marLeft w:val="0"/>
          <w:marRight w:val="0"/>
          <w:marTop w:val="0"/>
          <w:marBottom w:val="0"/>
          <w:divBdr>
            <w:top w:val="none" w:sz="0" w:space="0" w:color="auto"/>
            <w:left w:val="none" w:sz="0" w:space="0" w:color="auto"/>
            <w:bottom w:val="none" w:sz="0" w:space="0" w:color="auto"/>
            <w:right w:val="none" w:sz="0" w:space="0" w:color="auto"/>
          </w:divBdr>
          <w:divsChild>
            <w:div w:id="1682051116">
              <w:marLeft w:val="0"/>
              <w:marRight w:val="0"/>
              <w:marTop w:val="0"/>
              <w:marBottom w:val="0"/>
              <w:divBdr>
                <w:top w:val="none" w:sz="0" w:space="0" w:color="auto"/>
                <w:left w:val="none" w:sz="0" w:space="0" w:color="auto"/>
                <w:bottom w:val="none" w:sz="0" w:space="0" w:color="auto"/>
                <w:right w:val="none" w:sz="0" w:space="0" w:color="auto"/>
              </w:divBdr>
              <w:divsChild>
                <w:div w:id="904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2853">
      <w:bodyDiv w:val="1"/>
      <w:marLeft w:val="0"/>
      <w:marRight w:val="0"/>
      <w:marTop w:val="0"/>
      <w:marBottom w:val="0"/>
      <w:divBdr>
        <w:top w:val="none" w:sz="0" w:space="0" w:color="auto"/>
        <w:left w:val="none" w:sz="0" w:space="0" w:color="auto"/>
        <w:bottom w:val="none" w:sz="0" w:space="0" w:color="auto"/>
        <w:right w:val="none" w:sz="0" w:space="0" w:color="auto"/>
      </w:divBdr>
    </w:div>
    <w:div w:id="1810585873">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958609775">
          <w:marLeft w:val="0"/>
          <w:marRight w:val="0"/>
          <w:marTop w:val="0"/>
          <w:marBottom w:val="0"/>
          <w:divBdr>
            <w:top w:val="none" w:sz="0" w:space="0" w:color="auto"/>
            <w:left w:val="none" w:sz="0" w:space="0" w:color="auto"/>
            <w:bottom w:val="none" w:sz="0" w:space="0" w:color="auto"/>
            <w:right w:val="none" w:sz="0" w:space="0" w:color="auto"/>
          </w:divBdr>
          <w:divsChild>
            <w:div w:id="146673453">
              <w:marLeft w:val="0"/>
              <w:marRight w:val="0"/>
              <w:marTop w:val="0"/>
              <w:marBottom w:val="0"/>
              <w:divBdr>
                <w:top w:val="none" w:sz="0" w:space="0" w:color="auto"/>
                <w:left w:val="none" w:sz="0" w:space="0" w:color="auto"/>
                <w:bottom w:val="none" w:sz="0" w:space="0" w:color="auto"/>
                <w:right w:val="none" w:sz="0" w:space="0" w:color="auto"/>
              </w:divBdr>
              <w:divsChild>
                <w:div w:id="1559978735">
                  <w:marLeft w:val="0"/>
                  <w:marRight w:val="0"/>
                  <w:marTop w:val="0"/>
                  <w:marBottom w:val="0"/>
                  <w:divBdr>
                    <w:top w:val="none" w:sz="0" w:space="0" w:color="auto"/>
                    <w:left w:val="none" w:sz="0" w:space="0" w:color="auto"/>
                    <w:bottom w:val="none" w:sz="0" w:space="0" w:color="auto"/>
                    <w:right w:val="none" w:sz="0" w:space="0" w:color="auto"/>
                  </w:divBdr>
                  <w:divsChild>
                    <w:div w:id="10597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52193">
      <w:bodyDiv w:val="1"/>
      <w:marLeft w:val="0"/>
      <w:marRight w:val="0"/>
      <w:marTop w:val="0"/>
      <w:marBottom w:val="0"/>
      <w:divBdr>
        <w:top w:val="none" w:sz="0" w:space="0" w:color="auto"/>
        <w:left w:val="none" w:sz="0" w:space="0" w:color="auto"/>
        <w:bottom w:val="none" w:sz="0" w:space="0" w:color="auto"/>
        <w:right w:val="none" w:sz="0" w:space="0" w:color="auto"/>
      </w:divBdr>
    </w:div>
    <w:div w:id="1937444421">
      <w:bodyDiv w:val="1"/>
      <w:marLeft w:val="0"/>
      <w:marRight w:val="0"/>
      <w:marTop w:val="0"/>
      <w:marBottom w:val="0"/>
      <w:divBdr>
        <w:top w:val="none" w:sz="0" w:space="0" w:color="auto"/>
        <w:left w:val="none" w:sz="0" w:space="0" w:color="auto"/>
        <w:bottom w:val="none" w:sz="0" w:space="0" w:color="auto"/>
        <w:right w:val="none" w:sz="0" w:space="0" w:color="auto"/>
      </w:divBdr>
      <w:divsChild>
        <w:div w:id="167714514">
          <w:marLeft w:val="0"/>
          <w:marRight w:val="0"/>
          <w:marTop w:val="0"/>
          <w:marBottom w:val="0"/>
          <w:divBdr>
            <w:top w:val="none" w:sz="0" w:space="0" w:color="auto"/>
            <w:left w:val="none" w:sz="0" w:space="0" w:color="auto"/>
            <w:bottom w:val="none" w:sz="0" w:space="0" w:color="auto"/>
            <w:right w:val="none" w:sz="0" w:space="0" w:color="auto"/>
          </w:divBdr>
          <w:divsChild>
            <w:div w:id="1006055227">
              <w:marLeft w:val="0"/>
              <w:marRight w:val="0"/>
              <w:marTop w:val="0"/>
              <w:marBottom w:val="0"/>
              <w:divBdr>
                <w:top w:val="none" w:sz="0" w:space="0" w:color="auto"/>
                <w:left w:val="none" w:sz="0" w:space="0" w:color="auto"/>
                <w:bottom w:val="none" w:sz="0" w:space="0" w:color="auto"/>
                <w:right w:val="none" w:sz="0" w:space="0" w:color="auto"/>
              </w:divBdr>
              <w:divsChild>
                <w:div w:id="12385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78277">
      <w:bodyDiv w:val="1"/>
      <w:marLeft w:val="0"/>
      <w:marRight w:val="0"/>
      <w:marTop w:val="0"/>
      <w:marBottom w:val="0"/>
      <w:divBdr>
        <w:top w:val="none" w:sz="0" w:space="0" w:color="auto"/>
        <w:left w:val="none" w:sz="0" w:space="0" w:color="auto"/>
        <w:bottom w:val="none" w:sz="0" w:space="0" w:color="auto"/>
        <w:right w:val="none" w:sz="0" w:space="0" w:color="auto"/>
      </w:divBdr>
    </w:div>
    <w:div w:id="21335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dget.ontario.ca/2021/fallstatement/pdf/2021-fall-statement-en.pdf" TargetMode="External"/><Relationship Id="rId18" Type="http://schemas.openxmlformats.org/officeDocument/2006/relationships/hyperlink" Target="http://www.edu.gov.on.ca/eng/policyfunding/funding.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du.gov.on.ca/eng/funding/2122/2021-22-technical-paper.pdf" TargetMode="Externa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edu.gov.on.ca/eng/teacher/pdfs/NTIPInductionElements2019.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eopleforeducation.ca/report/2019-annual-report-on-schools-what-makes-a-school/" TargetMode="External"/><Relationship Id="rId20" Type="http://schemas.openxmlformats.org/officeDocument/2006/relationships/hyperlink" Target="http://www.edu.gov.on.ca/eng/teacher/pdfs/NTIPInductionElements201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o-on.org/en/Blog/Publications/2021-education-estimates" TargetMode="External"/><Relationship Id="rId23" Type="http://schemas.openxmlformats.org/officeDocument/2006/relationships/hyperlink" Target="http://peopleforeducation.ca/wp-content/uploads/2017/08/P4E-annual-report-2017.pdf" TargetMode="External"/><Relationship Id="rId10" Type="http://schemas.openxmlformats.org/officeDocument/2006/relationships/endnotes" Target="endnotes.xml"/><Relationship Id="rId19" Type="http://schemas.openxmlformats.org/officeDocument/2006/relationships/hyperlink" Target="http://www.edu.gov.on.ca/eng/policyfunding/funding.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ao-on.org/en/Blog/Publications/inter-prov-comparisons-feb-2019" TargetMode="External"/><Relationship Id="rId22" Type="http://schemas.openxmlformats.org/officeDocument/2006/relationships/hyperlink" Target="https://efis.fma.csc.gov.on.ca/faab/Memos/B2021/B10_EN.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du.gov.on.ca/eng/policyfunding/funding.html" TargetMode="External"/><Relationship Id="rId13" Type="http://schemas.openxmlformats.org/officeDocument/2006/relationships/hyperlink" Target="http://peopleforeducation.ca/wp-content/uploads/2017/08/P4E-annual-report-2017.pdf" TargetMode="External"/><Relationship Id="rId3" Type="http://schemas.openxmlformats.org/officeDocument/2006/relationships/hyperlink" Target="http://fao-on.org/en/Blog/Publications/inter-prov-comparisons-feb-2019" TargetMode="External"/><Relationship Id="rId7" Type="http://schemas.openxmlformats.org/officeDocument/2006/relationships/hyperlink" Target="http://edu.gov.on.ca/eng/teacher/pdfs/NTIPInductionElements2019.pdf" TargetMode="External"/><Relationship Id="rId12" Type="http://schemas.openxmlformats.org/officeDocument/2006/relationships/hyperlink" Target="https://efis.fma.csc.gov.on.ca/faab/Memos/B2021/B10_EN.pdf" TargetMode="External"/><Relationship Id="rId2" Type="http://schemas.openxmlformats.org/officeDocument/2006/relationships/hyperlink" Target="https://www.ontario.ca/page/ministry-finance" TargetMode="External"/><Relationship Id="rId1" Type="http://schemas.openxmlformats.org/officeDocument/2006/relationships/hyperlink" Target="https://budget.ontario.ca/2021/fallstatement/pdf/2021-fall-statement-en.pdf" TargetMode="External"/><Relationship Id="rId6" Type="http://schemas.openxmlformats.org/officeDocument/2006/relationships/hyperlink" Target="https://peopleforeducation.ca/report/2019-annual-report-on-schools-what-makes-a-school/" TargetMode="External"/><Relationship Id="rId11" Type="http://schemas.openxmlformats.org/officeDocument/2006/relationships/hyperlink" Target="http://www.edu.gov.on.ca/eng/funding/2122/2021-22-technical-paper.pdf" TargetMode="External"/><Relationship Id="rId5" Type="http://schemas.openxmlformats.org/officeDocument/2006/relationships/hyperlink" Target="https://www.fao-on.org/en/Blog/Publications/2021-education-estimates" TargetMode="External"/><Relationship Id="rId10" Type="http://schemas.openxmlformats.org/officeDocument/2006/relationships/hyperlink" Target="http://www.edu.gov.on.ca/eng/teacher/pdfs/NTIPInductionElements2019.pdf" TargetMode="External"/><Relationship Id="rId4" Type="http://schemas.openxmlformats.org/officeDocument/2006/relationships/hyperlink" Target="http://fao-on.org/en/Blog/Publications/inter-prov-comparisons-feb-2019" TargetMode="External"/><Relationship Id="rId9" Type="http://schemas.openxmlformats.org/officeDocument/2006/relationships/hyperlink" Target="http://www.edu.gov.on.ca/eng/policyfunding/funding.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CA" sz="1100"/>
              <a:t>Education Spending Outlook</a:t>
            </a:r>
          </a:p>
          <a:p>
            <a:pPr>
              <a:defRPr/>
            </a:pPr>
            <a:r>
              <a:rPr lang="en-CA" sz="1100"/>
              <a:t>2021 Fiscal Update projection vs 2% Spending Growth projection, $ millions</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manualLayout>
          <c:layoutTarget val="inner"/>
          <c:xMode val="edge"/>
          <c:yMode val="edge"/>
          <c:x val="0.12459480024280352"/>
          <c:y val="0.22384000000000001"/>
          <c:w val="0.58338420238186828"/>
          <c:h val="0.55696797900262462"/>
        </c:manualLayout>
      </c:layout>
      <c:lineChart>
        <c:grouping val="standard"/>
        <c:varyColors val="0"/>
        <c:ser>
          <c:idx val="0"/>
          <c:order val="0"/>
          <c:tx>
            <c:strRef>
              <c:f>Sheet1!$A$11:$B$11</c:f>
              <c:strCache>
                <c:ptCount val="2"/>
                <c:pt idx="0">
                  <c:v>Total Education Actual and Projections ($ millions)</c:v>
                </c:pt>
              </c:strCache>
            </c:strRef>
          </c:tx>
          <c:spPr>
            <a:ln w="22225" cap="rnd" cmpd="sng" algn="ctr">
              <a:solidFill>
                <a:schemeClr val="accent1"/>
              </a:solidFill>
              <a:round/>
            </a:ln>
            <a:effectLst/>
          </c:spPr>
          <c:marker>
            <c:symbol val="none"/>
          </c:marker>
          <c:cat>
            <c:strRef>
              <c:f>Sheet1!$C$10:$R$10</c:f>
              <c:strCache>
                <c:ptCount val="16"/>
                <c:pt idx="0">
                  <c:v>2014-15</c:v>
                </c:pt>
                <c:pt idx="1">
                  <c:v>2015-16</c:v>
                </c:pt>
                <c:pt idx="2">
                  <c:v>2016-17</c:v>
                </c:pt>
                <c:pt idx="3">
                  <c:v>2017-18</c:v>
                </c:pt>
                <c:pt idx="4">
                  <c:v>2018-19</c:v>
                </c:pt>
                <c:pt idx="5">
                  <c:v>2019-20</c:v>
                </c:pt>
                <c:pt idx="6">
                  <c:v>2020-21</c:v>
                </c:pt>
                <c:pt idx="7">
                  <c:v>2021-22p</c:v>
                </c:pt>
                <c:pt idx="8">
                  <c:v>2022-23p</c:v>
                </c:pt>
                <c:pt idx="9">
                  <c:v>2023-24p</c:v>
                </c:pt>
                <c:pt idx="10">
                  <c:v>2024-25p</c:v>
                </c:pt>
                <c:pt idx="11">
                  <c:v>2025-26p</c:v>
                </c:pt>
                <c:pt idx="12">
                  <c:v>2026-27p</c:v>
                </c:pt>
                <c:pt idx="13">
                  <c:v>2027-28p</c:v>
                </c:pt>
                <c:pt idx="14">
                  <c:v>2028-29p</c:v>
                </c:pt>
                <c:pt idx="15">
                  <c:v>2029-30p</c:v>
                </c:pt>
              </c:strCache>
            </c:strRef>
          </c:cat>
          <c:val>
            <c:numRef>
              <c:f>Sheet1!$C$11:$R$11</c:f>
              <c:numCache>
                <c:formatCode>#,##0</c:formatCode>
                <c:ptCount val="16"/>
                <c:pt idx="0">
                  <c:v>24629</c:v>
                </c:pt>
                <c:pt idx="1">
                  <c:v>25967</c:v>
                </c:pt>
                <c:pt idx="2">
                  <c:v>26580</c:v>
                </c:pt>
                <c:pt idx="3">
                  <c:v>27265</c:v>
                </c:pt>
                <c:pt idx="4">
                  <c:v>28742</c:v>
                </c:pt>
                <c:pt idx="5">
                  <c:v>30177</c:v>
                </c:pt>
                <c:pt idx="6">
                  <c:v>28390</c:v>
                </c:pt>
                <c:pt idx="7">
                  <c:v>30796</c:v>
                </c:pt>
                <c:pt idx="8">
                  <c:v>31300</c:v>
                </c:pt>
                <c:pt idx="9">
                  <c:v>31500</c:v>
                </c:pt>
                <c:pt idx="10">
                  <c:v>31900</c:v>
                </c:pt>
                <c:pt idx="11">
                  <c:v>32200</c:v>
                </c:pt>
                <c:pt idx="12">
                  <c:v>32600</c:v>
                </c:pt>
                <c:pt idx="13">
                  <c:v>33000</c:v>
                </c:pt>
                <c:pt idx="14">
                  <c:v>33400</c:v>
                </c:pt>
                <c:pt idx="15">
                  <c:v>33800</c:v>
                </c:pt>
              </c:numCache>
            </c:numRef>
          </c:val>
          <c:smooth val="0"/>
          <c:extLst>
            <c:ext xmlns:c16="http://schemas.microsoft.com/office/drawing/2014/chart" uri="{C3380CC4-5D6E-409C-BE32-E72D297353CC}">
              <c16:uniqueId val="{00000000-52AA-4C8F-ACF5-282DB49B78C6}"/>
            </c:ext>
          </c:extLst>
        </c:ser>
        <c:ser>
          <c:idx val="1"/>
          <c:order val="1"/>
          <c:tx>
            <c:strRef>
              <c:f>Sheet1!$A$12:$B$12</c:f>
              <c:strCache>
                <c:ptCount val="2"/>
                <c:pt idx="0">
                  <c:v>Projection of 2% growth in Spending</c:v>
                </c:pt>
              </c:strCache>
            </c:strRef>
          </c:tx>
          <c:spPr>
            <a:ln w="22225" cap="rnd" cmpd="sng" algn="ctr">
              <a:solidFill>
                <a:srgbClr val="FF0000"/>
              </a:solidFill>
              <a:round/>
            </a:ln>
            <a:effectLst/>
          </c:spPr>
          <c:marker>
            <c:symbol val="none"/>
          </c:marker>
          <c:cat>
            <c:strRef>
              <c:f>Sheet1!$C$10:$R$10</c:f>
              <c:strCache>
                <c:ptCount val="16"/>
                <c:pt idx="0">
                  <c:v>2014-15</c:v>
                </c:pt>
                <c:pt idx="1">
                  <c:v>2015-16</c:v>
                </c:pt>
                <c:pt idx="2">
                  <c:v>2016-17</c:v>
                </c:pt>
                <c:pt idx="3">
                  <c:v>2017-18</c:v>
                </c:pt>
                <c:pt idx="4">
                  <c:v>2018-19</c:v>
                </c:pt>
                <c:pt idx="5">
                  <c:v>2019-20</c:v>
                </c:pt>
                <c:pt idx="6">
                  <c:v>2020-21</c:v>
                </c:pt>
                <c:pt idx="7">
                  <c:v>2021-22p</c:v>
                </c:pt>
                <c:pt idx="8">
                  <c:v>2022-23p</c:v>
                </c:pt>
                <c:pt idx="9">
                  <c:v>2023-24p</c:v>
                </c:pt>
                <c:pt idx="10">
                  <c:v>2024-25p</c:v>
                </c:pt>
                <c:pt idx="11">
                  <c:v>2025-26p</c:v>
                </c:pt>
                <c:pt idx="12">
                  <c:v>2026-27p</c:v>
                </c:pt>
                <c:pt idx="13">
                  <c:v>2027-28p</c:v>
                </c:pt>
                <c:pt idx="14">
                  <c:v>2028-29p</c:v>
                </c:pt>
                <c:pt idx="15">
                  <c:v>2029-30p</c:v>
                </c:pt>
              </c:strCache>
            </c:strRef>
          </c:cat>
          <c:val>
            <c:numRef>
              <c:f>Sheet1!$C$12:$R$12</c:f>
              <c:numCache>
                <c:formatCode>General</c:formatCode>
                <c:ptCount val="16"/>
                <c:pt idx="5" formatCode="#,##0">
                  <c:v>30177</c:v>
                </c:pt>
                <c:pt idx="6" formatCode="#,##0">
                  <c:v>30780.54</c:v>
                </c:pt>
                <c:pt idx="7" formatCode="#,##0">
                  <c:v>31396.150799999999</c:v>
                </c:pt>
                <c:pt idx="8" formatCode="#,##0">
                  <c:v>32024.073816</c:v>
                </c:pt>
                <c:pt idx="9" formatCode="#,##0">
                  <c:v>32664.555292320001</c:v>
                </c:pt>
                <c:pt idx="10" formatCode="#,##0">
                  <c:v>33317.846398166403</c:v>
                </c:pt>
                <c:pt idx="11" formatCode="#,##0">
                  <c:v>33984.203326129733</c:v>
                </c:pt>
                <c:pt idx="12" formatCode="#,##0">
                  <c:v>34663.88739265233</c:v>
                </c:pt>
                <c:pt idx="13" formatCode="#,##0">
                  <c:v>35357.165140505378</c:v>
                </c:pt>
                <c:pt idx="14" formatCode="#,##0">
                  <c:v>36064.308443315487</c:v>
                </c:pt>
                <c:pt idx="15" formatCode="#,##0">
                  <c:v>36785.594612181798</c:v>
                </c:pt>
              </c:numCache>
            </c:numRef>
          </c:val>
          <c:smooth val="0"/>
          <c:extLst>
            <c:ext xmlns:c16="http://schemas.microsoft.com/office/drawing/2014/chart" uri="{C3380CC4-5D6E-409C-BE32-E72D297353CC}">
              <c16:uniqueId val="{00000001-52AA-4C8F-ACF5-282DB49B78C6}"/>
            </c:ext>
          </c:extLst>
        </c:ser>
        <c:dLbls>
          <c:showLegendKey val="0"/>
          <c:showVal val="0"/>
          <c:showCatName val="0"/>
          <c:showSerName val="0"/>
          <c:showPercent val="0"/>
          <c:showBubbleSize val="0"/>
        </c:dLbls>
        <c:smooth val="0"/>
        <c:axId val="977377152"/>
        <c:axId val="977391712"/>
      </c:lineChart>
      <c:catAx>
        <c:axId val="97737715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790" b="0" i="0" u="none" strike="noStrike" kern="1200" spc="20" baseline="0">
                <a:solidFill>
                  <a:schemeClr val="dk1">
                    <a:lumMod val="65000"/>
                    <a:lumOff val="35000"/>
                  </a:schemeClr>
                </a:solidFill>
                <a:latin typeface="+mn-lt"/>
                <a:ea typeface="+mn-ea"/>
                <a:cs typeface="+mn-cs"/>
              </a:defRPr>
            </a:pPr>
            <a:endParaRPr lang="en-US"/>
          </a:p>
        </c:txPr>
        <c:crossAx val="977391712"/>
        <c:crosses val="autoZero"/>
        <c:auto val="1"/>
        <c:lblAlgn val="ctr"/>
        <c:lblOffset val="100"/>
        <c:noMultiLvlLbl val="0"/>
      </c:catAx>
      <c:valAx>
        <c:axId val="977391712"/>
        <c:scaling>
          <c:orientation val="minMax"/>
          <c:max val="38000"/>
          <c:min val="24000"/>
        </c:scaling>
        <c:delete val="0"/>
        <c:axPos val="l"/>
        <c:majorGridlines>
          <c:spPr>
            <a:ln>
              <a:solidFill>
                <a:schemeClr val="dk1">
                  <a:lumMod val="15000"/>
                  <a:lumOff val="85000"/>
                </a:schemeClr>
              </a:solidFill>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n-US"/>
          </a:p>
        </c:txPr>
        <c:crossAx val="977377152"/>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n-US"/>
          </a:p>
        </c:txPr>
      </c:legendEntry>
      <c:layout>
        <c:manualLayout>
          <c:xMode val="edge"/>
          <c:yMode val="edge"/>
          <c:x val="0.71906896817050958"/>
          <c:y val="0.33467800524934382"/>
          <c:w val="0.26190190395581658"/>
          <c:h val="0.27188909078672857"/>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CA" sz="1100"/>
              <a:t>Education Funding as a % of Total Expenses</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Sheet1!$A$16</c:f>
              <c:strCache>
                <c:ptCount val="1"/>
                <c:pt idx="0">
                  <c:v>Education Funding as a % of Total Expenses</c:v>
                </c:pt>
              </c:strCache>
            </c:strRef>
          </c:tx>
          <c:spPr>
            <a:ln w="22225" cap="rnd" cmpd="sng" algn="ctr">
              <a:solidFill>
                <a:schemeClr val="accent1"/>
              </a:solidFill>
              <a:round/>
            </a:ln>
            <a:effectLst/>
          </c:spPr>
          <c:marker>
            <c:symbol val="none"/>
          </c:marker>
          <c:cat>
            <c:strRef>
              <c:f>Sheet1!$C$10:$L$10</c:f>
              <c:strCache>
                <c:ptCount val="10"/>
                <c:pt idx="0">
                  <c:v>2014-15</c:v>
                </c:pt>
                <c:pt idx="1">
                  <c:v>2015-16</c:v>
                </c:pt>
                <c:pt idx="2">
                  <c:v>2016-17</c:v>
                </c:pt>
                <c:pt idx="3">
                  <c:v>2017-18</c:v>
                </c:pt>
                <c:pt idx="4">
                  <c:v>2018-19</c:v>
                </c:pt>
                <c:pt idx="5">
                  <c:v>2019-20</c:v>
                </c:pt>
                <c:pt idx="6">
                  <c:v>2020-21</c:v>
                </c:pt>
                <c:pt idx="7">
                  <c:v>2021-22p</c:v>
                </c:pt>
                <c:pt idx="8">
                  <c:v>2022-23p</c:v>
                </c:pt>
                <c:pt idx="9">
                  <c:v>2023-24p</c:v>
                </c:pt>
              </c:strCache>
            </c:strRef>
          </c:cat>
          <c:val>
            <c:numRef>
              <c:f>Sheet1!$C$16:$L$16</c:f>
              <c:numCache>
                <c:formatCode>0.0%</c:formatCode>
                <c:ptCount val="10"/>
                <c:pt idx="0">
                  <c:v>0.18047586596026879</c:v>
                </c:pt>
                <c:pt idx="1">
                  <c:v>0.18592612216549839</c:v>
                </c:pt>
                <c:pt idx="2">
                  <c:v>0.18565471575550574</c:v>
                </c:pt>
                <c:pt idx="3">
                  <c:v>0.17674017605953354</c:v>
                </c:pt>
                <c:pt idx="4">
                  <c:v>0.17837217240202316</c:v>
                </c:pt>
                <c:pt idx="5">
                  <c:v>0.18314842687900562</c:v>
                </c:pt>
                <c:pt idx="6">
                  <c:v>0.15659387634654737</c:v>
                </c:pt>
                <c:pt idx="7">
                  <c:v>0.16284271475028422</c:v>
                </c:pt>
                <c:pt idx="8">
                  <c:v>0.16508438818565402</c:v>
                </c:pt>
                <c:pt idx="9">
                  <c:v>0.16622691292875991</c:v>
                </c:pt>
              </c:numCache>
            </c:numRef>
          </c:val>
          <c:smooth val="0"/>
          <c:extLst>
            <c:ext xmlns:c16="http://schemas.microsoft.com/office/drawing/2014/chart" uri="{C3380CC4-5D6E-409C-BE32-E72D297353CC}">
              <c16:uniqueId val="{00000000-0E42-4E9A-8C70-F3831C666E7E}"/>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821366736"/>
        <c:axId val="821364656"/>
      </c:lineChart>
      <c:catAx>
        <c:axId val="82136673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n-US"/>
          </a:p>
        </c:txPr>
        <c:crossAx val="821364656"/>
        <c:crosses val="autoZero"/>
        <c:auto val="1"/>
        <c:lblAlgn val="ctr"/>
        <c:lblOffset val="100"/>
        <c:noMultiLvlLbl val="0"/>
      </c:catAx>
      <c:valAx>
        <c:axId val="821364656"/>
        <c:scaling>
          <c:orientation val="minMax"/>
          <c:max val="0.19000000000000003"/>
          <c:min val="0.15000000000000002"/>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n-US"/>
          </a:p>
        </c:txPr>
        <c:crossAx val="821366736"/>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33E1D5FAC974F9EB16B2CB4FFE405" ma:contentTypeVersion="11" ma:contentTypeDescription="Create a new document." ma:contentTypeScope="" ma:versionID="129afaf9e2414f63fbbcb1df6d2ac6bc">
  <xsd:schema xmlns:xsd="http://www.w3.org/2001/XMLSchema" xmlns:xs="http://www.w3.org/2001/XMLSchema" xmlns:p="http://schemas.microsoft.com/office/2006/metadata/properties" xmlns:ns3="2a132584-253d-48c5-9d2e-6e2e9ff113b0" xmlns:ns4="6e59afd0-6de8-44da-8027-8c14e28f1468" targetNamespace="http://schemas.microsoft.com/office/2006/metadata/properties" ma:root="true" ma:fieldsID="de64370ca055bd84a4cd90e85f9bc8d9" ns3:_="" ns4:_="">
    <xsd:import namespace="2a132584-253d-48c5-9d2e-6e2e9ff113b0"/>
    <xsd:import namespace="6e59afd0-6de8-44da-8027-8c14e28f14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32584-253d-48c5-9d2e-6e2e9ff11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9afd0-6de8-44da-8027-8c14e28f14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Fin18</b:Tag>
    <b:SourceType>Report</b:SourceType>
    <b:Guid>{B06FC193-52E1-45CA-B89C-C5FF8B595FA1}</b:Guid>
    <b:Title>Economic and Budget Outlook, Assessing Ontario’s Medium-term Budget Plan</b:Title>
    <b:Year>2018</b:Year>
    <b:City>Toronto</b:City>
    <b:Publisher>Queen’s Printer for Ontario</b:Publisher>
    <b:Author>
      <b:Author>
        <b:Corporate>Financial Accountability Officer of Ontario</b:Corporate>
      </b:Author>
    </b:Author>
    <b:Pages>13</b:Pages>
    <b:RefOrder>1</b:RefOrder>
  </b:Source>
</b:Sources>
</file>

<file path=customXml/itemProps1.xml><?xml version="1.0" encoding="utf-8"?>
<ds:datastoreItem xmlns:ds="http://schemas.openxmlformats.org/officeDocument/2006/customXml" ds:itemID="{E4DE059B-3ADA-43C0-8B6B-CD7EF85933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F23B5B-4F3B-407C-8905-3838D00A5AD8}">
  <ds:schemaRefs>
    <ds:schemaRef ds:uri="http://schemas.microsoft.com/sharepoint/v3/contenttype/forms"/>
  </ds:schemaRefs>
</ds:datastoreItem>
</file>

<file path=customXml/itemProps3.xml><?xml version="1.0" encoding="utf-8"?>
<ds:datastoreItem xmlns:ds="http://schemas.openxmlformats.org/officeDocument/2006/customXml" ds:itemID="{27380661-2A24-4C92-82E4-A44FF19D8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32584-253d-48c5-9d2e-6e2e9ff113b0"/>
    <ds:schemaRef ds:uri="6e59afd0-6de8-44da-8027-8c14e28f1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C94E7-404F-46C0-8D0C-B4C89399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6492</Words>
  <Characters>37011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ETFO Submission  - Bill 27</vt:lpstr>
    </vt:vector>
  </TitlesOfParts>
  <Company/>
  <LinksUpToDate>false</LinksUpToDate>
  <CharactersWithSpaces>43417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ETFO Submission  - Bill 27</dc:title>
  <dc:subject>ETFO Submission  - Education Consultations 2018</dc:subject>
  <dc:creator>Federico Carvajal;jschwartz@etfo.org</dc:creator>
  <cp:lastModifiedBy>Aida Azarakhsh</cp:lastModifiedBy>
  <cp:revision>6</cp:revision>
  <cp:lastPrinted>2021-11-26T14:53:00Z</cp:lastPrinted>
  <dcterms:created xsi:type="dcterms:W3CDTF">2021-11-29T14:15:00Z</dcterms:created>
  <dcterms:modified xsi:type="dcterms:W3CDTF">2021-11-29T14:41:00Z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0x0101006B733E1D5FAC974F9EB16B2CB4FFE405</vt:lpwstr>
  </property>
</Properties>
</file>