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8725" w14:textId="77777777" w:rsidR="005A62C2" w:rsidRPr="005A62C2" w:rsidRDefault="005A62C2" w:rsidP="005A62C2">
      <w:pPr>
        <w:pStyle w:val="Heading1"/>
        <w:spacing w:before="0"/>
        <w:rPr>
          <w:rFonts w:ascii="Arial" w:eastAsia="Times New Roman" w:hAnsi="Arial" w:cs="Arial"/>
          <w:b/>
          <w:bCs/>
          <w:color w:val="000000" w:themeColor="text1"/>
          <w:lang w:eastAsia="en-US"/>
        </w:rPr>
      </w:pPr>
      <w:r w:rsidRPr="005A62C2">
        <w:rPr>
          <w:rFonts w:ascii="Arial" w:eastAsia="Times New Roman" w:hAnsi="Arial" w:cs="Arial"/>
          <w:b/>
          <w:bCs/>
          <w:color w:val="000000" w:themeColor="text1"/>
          <w:lang w:eastAsia="en-US"/>
        </w:rPr>
        <w:t>PRS Matters</w:t>
      </w:r>
    </w:p>
    <w:p w14:paraId="00A8F1C9" w14:textId="0DE716E7" w:rsidR="005A62C2" w:rsidRPr="005A62C2" w:rsidRDefault="005A62C2" w:rsidP="005A62C2">
      <w:pPr>
        <w:spacing w:after="0" w:line="240" w:lineRule="auto"/>
        <w:rPr>
          <w:rFonts w:ascii="Arial" w:hAnsi="Arial" w:cs="Arial"/>
          <w:sz w:val="24"/>
          <w:szCs w:val="24"/>
        </w:rPr>
      </w:pPr>
      <w:r w:rsidRPr="005A62C2">
        <w:rPr>
          <w:rFonts w:ascii="Arial" w:hAnsi="Arial" w:cs="Arial"/>
          <w:sz w:val="24"/>
          <w:szCs w:val="24"/>
        </w:rPr>
        <w:t>Date: December 2018</w:t>
      </w:r>
    </w:p>
    <w:p w14:paraId="6EE2EBE8" w14:textId="6C547F6A" w:rsidR="005A62C2" w:rsidRPr="005A62C2" w:rsidRDefault="005A62C2" w:rsidP="005A62C2">
      <w:pPr>
        <w:pStyle w:val="Heading2"/>
        <w:spacing w:line="240" w:lineRule="auto"/>
        <w:rPr>
          <w:rFonts w:ascii="Arial" w:eastAsia="Times New Roman" w:hAnsi="Arial" w:cs="Arial"/>
          <w:b/>
          <w:bCs/>
          <w:color w:val="000000" w:themeColor="text1"/>
          <w:sz w:val="32"/>
          <w:szCs w:val="32"/>
          <w:lang w:eastAsia="en-US"/>
        </w:rPr>
      </w:pPr>
      <w:r w:rsidRPr="005A62C2">
        <w:rPr>
          <w:rFonts w:ascii="Arial" w:eastAsia="Times New Roman" w:hAnsi="Arial" w:cs="Arial"/>
          <w:b/>
          <w:bCs/>
          <w:color w:val="000000" w:themeColor="text1"/>
          <w:sz w:val="32"/>
          <w:szCs w:val="32"/>
          <w:lang w:eastAsia="en-US"/>
        </w:rPr>
        <w:t>Policy And Program Memorandum 155 (PPM 155)</w:t>
      </w:r>
    </w:p>
    <w:p w14:paraId="1281055E" w14:textId="77777777" w:rsidR="005A62C2" w:rsidRPr="005A62C2" w:rsidRDefault="005A62C2" w:rsidP="005A62C2">
      <w:pPr>
        <w:pStyle w:val="Heading2"/>
        <w:spacing w:line="240" w:lineRule="auto"/>
        <w:rPr>
          <w:rFonts w:ascii="Arial" w:eastAsia="Times New Roman" w:hAnsi="Arial" w:cs="Arial"/>
          <w:b/>
          <w:bCs/>
          <w:color w:val="000000" w:themeColor="text1"/>
          <w:sz w:val="32"/>
          <w:szCs w:val="32"/>
          <w:lang w:eastAsia="en-US"/>
        </w:rPr>
      </w:pPr>
      <w:r w:rsidRPr="005A62C2">
        <w:rPr>
          <w:rFonts w:ascii="Arial" w:eastAsia="Times New Roman" w:hAnsi="Arial" w:cs="Arial"/>
          <w:b/>
          <w:bCs/>
          <w:color w:val="000000" w:themeColor="text1"/>
          <w:sz w:val="32"/>
          <w:szCs w:val="32"/>
          <w:lang w:eastAsia="en-US"/>
        </w:rPr>
        <w:t>Diagnostic Assessment in Support of Student Learning</w:t>
      </w:r>
    </w:p>
    <w:p w14:paraId="51CB0491" w14:textId="403EFAC2" w:rsidR="005A62C2" w:rsidRPr="005A62C2" w:rsidRDefault="005A62C2" w:rsidP="005A62C2">
      <w:pPr>
        <w:pStyle w:val="Heading2"/>
        <w:spacing w:after="120" w:line="240" w:lineRule="auto"/>
        <w:rPr>
          <w:rFonts w:ascii="Arial" w:eastAsia="Times New Roman" w:hAnsi="Arial" w:cs="Arial"/>
          <w:b/>
          <w:bCs/>
          <w:color w:val="000000" w:themeColor="text1"/>
          <w:sz w:val="32"/>
          <w:szCs w:val="32"/>
          <w:lang w:eastAsia="en-US"/>
        </w:rPr>
      </w:pPr>
      <w:r w:rsidRPr="005A62C2">
        <w:rPr>
          <w:rFonts w:ascii="Arial" w:eastAsia="Times New Roman" w:hAnsi="Arial" w:cs="Arial"/>
          <w:b/>
          <w:bCs/>
          <w:color w:val="000000" w:themeColor="text1"/>
          <w:sz w:val="32"/>
          <w:szCs w:val="32"/>
          <w:lang w:eastAsia="en-US"/>
        </w:rPr>
        <w:t>Advice For Members</w:t>
      </w:r>
    </w:p>
    <w:p w14:paraId="363AD818" w14:textId="69F6E869" w:rsidR="005A62C2" w:rsidRPr="005A62C2" w:rsidRDefault="005A62C2" w:rsidP="005A62C2">
      <w:pPr>
        <w:pStyle w:val="Heading3"/>
        <w:rPr>
          <w:rFonts w:ascii="Arial" w:eastAsia="Times New Roman" w:hAnsi="Arial" w:cs="Arial"/>
          <w:b/>
          <w:bCs/>
          <w:color w:val="000000" w:themeColor="text1"/>
          <w:lang w:val="en-US" w:eastAsia="en-US"/>
        </w:rPr>
      </w:pPr>
      <w:r w:rsidRPr="005A62C2">
        <w:rPr>
          <w:rFonts w:ascii="Arial" w:eastAsia="Times New Roman" w:hAnsi="Arial" w:cs="Arial"/>
          <w:b/>
          <w:bCs/>
          <w:color w:val="000000" w:themeColor="text1"/>
          <w:lang w:val="en-US" w:eastAsia="en-US"/>
        </w:rPr>
        <w:t>Background of PPM 155</w:t>
      </w:r>
    </w:p>
    <w:p w14:paraId="0A80E6AA" w14:textId="77777777" w:rsidR="005A62C2" w:rsidRPr="005A62C2" w:rsidRDefault="005A62C2" w:rsidP="005A62C2">
      <w:pPr>
        <w:spacing w:after="0" w:line="240" w:lineRule="auto"/>
        <w:rPr>
          <w:rFonts w:ascii="Arial" w:eastAsia="Times New Roman" w:hAnsi="Arial" w:cs="Arial"/>
          <w:b/>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 xml:space="preserve">The government has issued </w:t>
      </w:r>
      <w:r w:rsidRPr="005A62C2">
        <w:rPr>
          <w:rFonts w:ascii="Arial" w:eastAsia="Times New Roman" w:hAnsi="Arial" w:cs="Arial"/>
          <w:i/>
          <w:color w:val="000000" w:themeColor="text1"/>
          <w:sz w:val="24"/>
          <w:szCs w:val="24"/>
          <w:lang w:val="en-US" w:eastAsia="en-US"/>
        </w:rPr>
        <w:t>Policy/Program Memorandum (PPM) 155: Diagnostic Assessment in Support of Student Learning</w:t>
      </w:r>
      <w:r w:rsidRPr="005A62C2">
        <w:rPr>
          <w:rFonts w:ascii="Arial" w:eastAsia="Times New Roman" w:hAnsi="Arial" w:cs="Arial"/>
          <w:color w:val="000000" w:themeColor="text1"/>
          <w:sz w:val="24"/>
          <w:szCs w:val="24"/>
          <w:lang w:val="en-US" w:eastAsia="en-US"/>
        </w:rPr>
        <w:t xml:space="preserve"> which provides direction to teachers, principals, and school board personnel about the use of formal diagnostic assessment. PPM 155 articulates the distinct roles that teachers, principals, and school boards play in the diagnostic assessment process</w:t>
      </w:r>
      <w:r w:rsidRPr="005A62C2">
        <w:rPr>
          <w:rFonts w:ascii="Arial" w:eastAsia="Times New Roman" w:hAnsi="Arial" w:cs="Arial"/>
          <w:color w:val="000000" w:themeColor="text1"/>
          <w:sz w:val="24"/>
          <w:szCs w:val="24"/>
          <w:lang w:val="en-US" w:eastAsia="en-CA"/>
        </w:rPr>
        <w:t>.</w:t>
      </w:r>
      <w:r w:rsidRPr="005A62C2">
        <w:rPr>
          <w:rFonts w:ascii="Arial" w:eastAsia="Times New Roman" w:hAnsi="Arial" w:cs="Arial"/>
          <w:color w:val="000000" w:themeColor="text1"/>
          <w:sz w:val="24"/>
          <w:szCs w:val="24"/>
          <w:lang w:val="en-US" w:eastAsia="en-US"/>
        </w:rPr>
        <w:t xml:space="preserve"> PPM 155 signals a fundamental change in the locus of control on the use of diagnostic assessments from school boards and principals to individual teachers. </w:t>
      </w:r>
      <w:r w:rsidRPr="005A62C2">
        <w:rPr>
          <w:rFonts w:ascii="Arial" w:eastAsia="Times New Roman" w:hAnsi="Arial" w:cs="Arial"/>
          <w:b/>
          <w:color w:val="000000" w:themeColor="text1"/>
          <w:sz w:val="24"/>
          <w:szCs w:val="24"/>
          <w:lang w:val="en-US" w:eastAsia="en-US"/>
        </w:rPr>
        <w:t xml:space="preserve">The central theme of the memorandum is the role of teachers’ professional judgement in the selection, use and timing of diagnostic assessments in their classrooms. </w:t>
      </w:r>
      <w:r w:rsidRPr="005A62C2">
        <w:rPr>
          <w:rFonts w:ascii="Arial" w:eastAsia="Times New Roman" w:hAnsi="Arial" w:cs="Arial"/>
          <w:color w:val="000000" w:themeColor="text1"/>
          <w:sz w:val="24"/>
          <w:szCs w:val="24"/>
          <w:lang w:val="en-US" w:eastAsia="en-US"/>
        </w:rPr>
        <w:t>The former practice of mandated diagnostic assessments of every student for school or board-wide purposes is no longer permissible nor appropriate as indicated in the PPM where it states:</w:t>
      </w:r>
    </w:p>
    <w:p w14:paraId="0E1DC859" w14:textId="77777777" w:rsidR="005A62C2" w:rsidRPr="005A62C2" w:rsidRDefault="005A62C2" w:rsidP="005A62C2">
      <w:pPr>
        <w:spacing w:after="0" w:line="240" w:lineRule="auto"/>
        <w:ind w:left="283"/>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 xml:space="preserve">“The ability to choose the appropriate assessment tool(s) as well as to determine the frequency and timing of its administration allows the teacher to gather data that is relevant, sufficient, and valid in order to make judgements about student learning during the learning cycle.” </w:t>
      </w:r>
    </w:p>
    <w:p w14:paraId="279BC7D7" w14:textId="77777777" w:rsidR="005A62C2" w:rsidRPr="005A62C2" w:rsidRDefault="005A62C2" w:rsidP="005A62C2">
      <w:pPr>
        <w:spacing w:after="120" w:line="240" w:lineRule="auto"/>
        <w:ind w:left="283"/>
        <w:rPr>
          <w:rFonts w:ascii="Arial" w:eastAsia="Times New Roman" w:hAnsi="Arial" w:cs="Arial"/>
          <w:color w:val="000000" w:themeColor="text1"/>
          <w:sz w:val="24"/>
          <w:szCs w:val="24"/>
          <w:lang w:eastAsia="en-US"/>
        </w:rPr>
      </w:pPr>
      <w:r w:rsidRPr="005A62C2">
        <w:rPr>
          <w:rFonts w:ascii="Arial" w:eastAsia="Times New Roman" w:hAnsi="Arial" w:cs="Arial"/>
          <w:color w:val="000000" w:themeColor="text1"/>
          <w:sz w:val="24"/>
          <w:szCs w:val="24"/>
          <w:lang w:val="en-US" w:eastAsia="en-US"/>
        </w:rPr>
        <w:t>PPM 155, Page 1.</w:t>
      </w:r>
    </w:p>
    <w:p w14:paraId="3AA79742" w14:textId="25B6B9C0" w:rsidR="005A62C2" w:rsidRDefault="005A62C2" w:rsidP="005A62C2">
      <w:pPr>
        <w:spacing w:after="120" w:line="240" w:lineRule="auto"/>
        <w:contextualSpacing/>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Section C 10.00 Diagnostic Assessment of the 2015 Central Agreement enshrines teacher professional judgement language specific to diagnostic in the collective agreement.</w:t>
      </w:r>
    </w:p>
    <w:p w14:paraId="6E00BF62" w14:textId="77777777" w:rsidR="005A62C2" w:rsidRPr="005A62C2" w:rsidRDefault="005A62C2" w:rsidP="005A62C2">
      <w:pPr>
        <w:spacing w:after="120" w:line="240" w:lineRule="auto"/>
        <w:contextualSpacing/>
        <w:rPr>
          <w:rFonts w:ascii="Arial" w:eastAsia="Times New Roman" w:hAnsi="Arial" w:cs="Arial"/>
          <w:color w:val="000000" w:themeColor="text1"/>
          <w:sz w:val="12"/>
          <w:szCs w:val="12"/>
          <w:lang w:val="en-US" w:eastAsia="en-US"/>
        </w:rPr>
      </w:pPr>
    </w:p>
    <w:p w14:paraId="4A628842" w14:textId="77777777" w:rsidR="005A62C2" w:rsidRPr="005A62C2" w:rsidRDefault="005A62C2" w:rsidP="005A62C2">
      <w:pPr>
        <w:spacing w:before="120" w:after="0" w:line="240" w:lineRule="auto"/>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The key components of the PPM are:</w:t>
      </w:r>
    </w:p>
    <w:p w14:paraId="4112182E" w14:textId="77777777" w:rsidR="005A62C2" w:rsidRPr="005A62C2" w:rsidRDefault="005A62C2" w:rsidP="005A62C2">
      <w:pPr>
        <w:widowControl w:val="0"/>
        <w:numPr>
          <w:ilvl w:val="0"/>
          <w:numId w:val="1"/>
        </w:numPr>
        <w:spacing w:after="0" w:line="240" w:lineRule="auto"/>
        <w:ind w:left="360"/>
        <w:contextualSpacing/>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Teachers must use diagnostic assessment during the school year to inform their instruction.</w:t>
      </w:r>
    </w:p>
    <w:p w14:paraId="6E366C22" w14:textId="77777777" w:rsidR="005A62C2" w:rsidRPr="005A62C2" w:rsidRDefault="005A62C2" w:rsidP="005A62C2">
      <w:pPr>
        <w:widowControl w:val="0"/>
        <w:numPr>
          <w:ilvl w:val="0"/>
          <w:numId w:val="1"/>
        </w:numPr>
        <w:spacing w:after="0" w:line="240" w:lineRule="auto"/>
        <w:ind w:left="360"/>
        <w:contextualSpacing/>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 xml:space="preserve">District school boards shall provide a list of pre-approved diagnostic assessment tools consistent with their board improvement plan for student achievement and PPM 155. </w:t>
      </w:r>
    </w:p>
    <w:p w14:paraId="38DF42DF" w14:textId="77777777" w:rsidR="005A62C2" w:rsidRPr="005A62C2" w:rsidRDefault="005A62C2" w:rsidP="005A62C2">
      <w:pPr>
        <w:widowControl w:val="0"/>
        <w:numPr>
          <w:ilvl w:val="0"/>
          <w:numId w:val="1"/>
        </w:numPr>
        <w:spacing w:after="0" w:line="240" w:lineRule="auto"/>
        <w:ind w:left="360"/>
        <w:contextualSpacing/>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Teachers shall use their professional judgement to determine:</w:t>
      </w:r>
    </w:p>
    <w:p w14:paraId="68153BDA" w14:textId="77777777" w:rsidR="005A62C2" w:rsidRPr="005A62C2" w:rsidRDefault="005A62C2" w:rsidP="005A62C2">
      <w:pPr>
        <w:numPr>
          <w:ilvl w:val="0"/>
          <w:numId w:val="2"/>
        </w:numPr>
        <w:spacing w:after="0" w:line="240" w:lineRule="auto"/>
        <w:ind w:left="814"/>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which diagnostic tool(s) from the board’s pre-approved list they will use;</w:t>
      </w:r>
    </w:p>
    <w:p w14:paraId="11A6080B" w14:textId="77777777" w:rsidR="005A62C2" w:rsidRPr="005A62C2" w:rsidRDefault="005A62C2" w:rsidP="005A62C2">
      <w:pPr>
        <w:numPr>
          <w:ilvl w:val="0"/>
          <w:numId w:val="2"/>
        </w:numPr>
        <w:spacing w:after="0" w:line="240" w:lineRule="auto"/>
        <w:ind w:left="814"/>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 xml:space="preserve">which student(s) they will use the tool with; </w:t>
      </w:r>
    </w:p>
    <w:p w14:paraId="298F4C6A" w14:textId="77777777" w:rsidR="005A62C2" w:rsidRPr="005A62C2" w:rsidRDefault="005A62C2" w:rsidP="005A62C2">
      <w:pPr>
        <w:numPr>
          <w:ilvl w:val="0"/>
          <w:numId w:val="2"/>
        </w:numPr>
        <w:spacing w:after="0" w:line="240" w:lineRule="auto"/>
        <w:ind w:left="814"/>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how often they will use the diagnostic tool; and</w:t>
      </w:r>
    </w:p>
    <w:p w14:paraId="5514ADEA" w14:textId="3052BA6F" w:rsidR="005A62C2" w:rsidRPr="005A62C2" w:rsidRDefault="005A62C2" w:rsidP="005A62C2">
      <w:pPr>
        <w:numPr>
          <w:ilvl w:val="0"/>
          <w:numId w:val="2"/>
        </w:numPr>
        <w:spacing w:after="120" w:line="240" w:lineRule="auto"/>
        <w:ind w:left="814"/>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when they will use the diagnostic tool.</w:t>
      </w:r>
    </w:p>
    <w:p w14:paraId="1560C8A5" w14:textId="77777777" w:rsidR="005A62C2" w:rsidRPr="005A62C2" w:rsidRDefault="005A62C2" w:rsidP="005A62C2">
      <w:pPr>
        <w:spacing w:line="240" w:lineRule="auto"/>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As an educator, when exercising professional judgement, members should be prepared to provide rationale for the decisions made.</w:t>
      </w:r>
    </w:p>
    <w:p w14:paraId="3CFE253A" w14:textId="77777777" w:rsidR="005A62C2" w:rsidRPr="005A62C2" w:rsidRDefault="005A62C2" w:rsidP="005A62C2">
      <w:pPr>
        <w:pStyle w:val="Heading3"/>
        <w:spacing w:before="0"/>
        <w:rPr>
          <w:rFonts w:ascii="Arial" w:eastAsia="Times New Roman" w:hAnsi="Arial" w:cs="Arial"/>
          <w:b/>
          <w:bCs/>
          <w:color w:val="000000" w:themeColor="text1"/>
          <w:lang w:val="en-GB" w:eastAsia="en-US"/>
        </w:rPr>
      </w:pPr>
      <w:r w:rsidRPr="005A62C2">
        <w:rPr>
          <w:rFonts w:ascii="Arial" w:eastAsia="Times New Roman" w:hAnsi="Arial" w:cs="Arial"/>
          <w:b/>
          <w:bCs/>
          <w:color w:val="000000" w:themeColor="text1"/>
          <w:lang w:val="en-GB" w:eastAsia="en-US"/>
        </w:rPr>
        <w:t>Implications for Members</w:t>
      </w:r>
    </w:p>
    <w:p w14:paraId="263BDDC0" w14:textId="30C7E70D" w:rsidR="005A62C2" w:rsidRPr="005A62C2" w:rsidRDefault="005A62C2" w:rsidP="005A62C2">
      <w:pPr>
        <w:spacing w:after="120" w:line="240" w:lineRule="auto"/>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 xml:space="preserve">Teachers are expected to use diagnostic assessment based on their professional judgement to inform teaching and learning in their classrooms. Members will use their professional judgement to determine which tools from the board list, which students and the timing of such diagnostic assessments to best meet the needs of the students in their classrooms. Members should be prepared to provide evidence/documentation of </w:t>
      </w:r>
      <w:r w:rsidRPr="005A62C2">
        <w:rPr>
          <w:rFonts w:ascii="Arial" w:eastAsia="Times New Roman" w:hAnsi="Arial" w:cs="Arial"/>
          <w:color w:val="000000" w:themeColor="text1"/>
          <w:sz w:val="24"/>
          <w:szCs w:val="24"/>
          <w:lang w:val="en-US" w:eastAsia="en-US"/>
        </w:rPr>
        <w:lastRenderedPageBreak/>
        <w:t xml:space="preserve">their use of diagnostic assessment. Documentation may be for individual students or for small groups of students and does not need to include data for an entire class. Documentation could take a variety of forms including but not limited </w:t>
      </w:r>
      <w:proofErr w:type="gramStart"/>
      <w:r w:rsidRPr="005A62C2">
        <w:rPr>
          <w:rFonts w:ascii="Arial" w:eastAsia="Times New Roman" w:hAnsi="Arial" w:cs="Arial"/>
          <w:color w:val="000000" w:themeColor="text1"/>
          <w:sz w:val="24"/>
          <w:szCs w:val="24"/>
          <w:lang w:val="en-US" w:eastAsia="en-US"/>
        </w:rPr>
        <w:t>to:</w:t>
      </w:r>
      <w:proofErr w:type="gramEnd"/>
      <w:r w:rsidRPr="005A62C2">
        <w:rPr>
          <w:rFonts w:ascii="Arial" w:eastAsia="Times New Roman" w:hAnsi="Arial" w:cs="Arial"/>
          <w:color w:val="000000" w:themeColor="text1"/>
          <w:sz w:val="24"/>
          <w:szCs w:val="24"/>
          <w:lang w:val="en-US" w:eastAsia="en-US"/>
        </w:rPr>
        <w:t xml:space="preserve"> pre-tests, observations, rubrics, checklists, student self-reflection tools (e.g., exit cards), or running records. As a result of the language in the </w:t>
      </w:r>
      <w:r w:rsidRPr="005A62C2">
        <w:rPr>
          <w:rFonts w:ascii="Arial" w:eastAsia="Times New Roman" w:hAnsi="Arial" w:cs="Arial"/>
          <w:i/>
          <w:color w:val="000000" w:themeColor="text1"/>
          <w:sz w:val="24"/>
          <w:szCs w:val="24"/>
          <w:lang w:val="en-US" w:eastAsia="en-US"/>
        </w:rPr>
        <w:t>2015 Central Agre</w:t>
      </w:r>
      <w:r w:rsidRPr="005A62C2">
        <w:rPr>
          <w:rFonts w:ascii="Arial" w:eastAsia="Times New Roman" w:hAnsi="Arial" w:cs="Arial"/>
          <w:color w:val="000000" w:themeColor="text1"/>
          <w:sz w:val="24"/>
          <w:szCs w:val="24"/>
          <w:lang w:val="en-US" w:eastAsia="en-US"/>
        </w:rPr>
        <w:t>ement, teachers cannot be requested or directed to administer a specific assessment with all students. Nor can administration ask that teachers submit to them assessment data by a certain date.</w:t>
      </w:r>
    </w:p>
    <w:p w14:paraId="61B6E66A" w14:textId="77777777" w:rsidR="005A62C2" w:rsidRPr="005A62C2" w:rsidRDefault="005A62C2" w:rsidP="005A62C2">
      <w:pPr>
        <w:spacing w:after="120" w:line="240" w:lineRule="auto"/>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If the board list of approved assessments includes only literacy and numeracy assessments, non-homeroom teachers should use their own informal diagnostic assessments for their subject area and be prepared to provide evidence if requested by their administrator.</w:t>
      </w:r>
    </w:p>
    <w:p w14:paraId="40B25E47" w14:textId="77777777" w:rsidR="005A62C2" w:rsidRPr="005A62C2" w:rsidRDefault="005A62C2" w:rsidP="005A62C2">
      <w:pPr>
        <w:spacing w:after="120" w:line="240" w:lineRule="auto"/>
        <w:rPr>
          <w:rFonts w:ascii="Arial" w:eastAsia="Times New Roman" w:hAnsi="Arial" w:cs="Arial"/>
          <w:color w:val="000000" w:themeColor="text1"/>
          <w:sz w:val="24"/>
          <w:szCs w:val="24"/>
          <w:lang w:val="en-US" w:eastAsia="en-US"/>
        </w:rPr>
      </w:pPr>
      <w:r w:rsidRPr="005A62C2">
        <w:rPr>
          <w:rFonts w:ascii="Arial" w:eastAsia="Times New Roman" w:hAnsi="Arial" w:cs="Arial"/>
          <w:color w:val="000000" w:themeColor="text1"/>
          <w:sz w:val="24"/>
          <w:szCs w:val="24"/>
          <w:lang w:val="en-US" w:eastAsia="en-US"/>
        </w:rPr>
        <w:t>English as a Second Language teachers and some literacy coaches/teachers may have the administration of diagnostic assessments for the purpose of student placement or at-risk students as part of their role. They should continue to administer assessments that are required for program placement and to determine support levels. If it is considered a core job responsibility, they should continue to administer the assessments to the at-risk students. Classroom teachers of English Language Learner (ELL) students should use their professional judgement to determine what assessments to use to support individual or groups of ELL students in their classroom.</w:t>
      </w:r>
    </w:p>
    <w:p w14:paraId="15D7A79B" w14:textId="77777777" w:rsidR="005A62C2" w:rsidRPr="005A62C2" w:rsidRDefault="005A62C2" w:rsidP="005A62C2">
      <w:pPr>
        <w:spacing w:after="120" w:line="240" w:lineRule="auto"/>
        <w:ind w:right="-140"/>
        <w:rPr>
          <w:rFonts w:ascii="Arial" w:eastAsia="Times New Roman" w:hAnsi="Arial" w:cs="Arial"/>
          <w:color w:val="000000" w:themeColor="text1"/>
          <w:sz w:val="24"/>
          <w:szCs w:val="24"/>
          <w:lang w:val="en-US" w:eastAsia="en-CA"/>
        </w:rPr>
      </w:pPr>
      <w:r w:rsidRPr="005A62C2">
        <w:rPr>
          <w:rFonts w:ascii="Arial" w:eastAsia="Times New Roman" w:hAnsi="Arial" w:cs="Arial"/>
          <w:color w:val="000000" w:themeColor="text1"/>
          <w:sz w:val="24"/>
          <w:szCs w:val="24"/>
          <w:lang w:val="en-US" w:eastAsia="en-US"/>
        </w:rPr>
        <w:t>Administrators cannot direct members to perform diagnostic assessment in a manner that is contrary to the member’s professional judgement. Should a member be directed by an administrator to conduct an assessment that is contrary to the member’s professional judgement, the member should contact their school steward and the ETFO local president immediately</w:t>
      </w:r>
      <w:r w:rsidRPr="005A62C2">
        <w:rPr>
          <w:rFonts w:ascii="Arial" w:eastAsia="Times New Roman" w:hAnsi="Arial" w:cs="Arial"/>
          <w:color w:val="000000" w:themeColor="text1"/>
          <w:sz w:val="24"/>
          <w:szCs w:val="24"/>
          <w:lang w:val="en-US" w:eastAsia="en-CA"/>
        </w:rPr>
        <w:t xml:space="preserve">. </w:t>
      </w:r>
      <w:r w:rsidRPr="005A62C2">
        <w:rPr>
          <w:rFonts w:ascii="Arial" w:eastAsia="Times New Roman" w:hAnsi="Arial" w:cs="Arial"/>
          <w:color w:val="000000" w:themeColor="text1"/>
          <w:sz w:val="24"/>
          <w:szCs w:val="24"/>
          <w:lang w:val="en-US" w:eastAsia="en-US"/>
        </w:rPr>
        <w:t>If school boards request teachers to conduct diagnostic testing to gather additional ‘diagnostic data’ for their Board Improvement Plan, it is ETFO’s position that teachers must be provided with release time during the instructional day to conduct the assessment and to complete all aspects of the marking and administration of such diagnostic assessment</w:t>
      </w:r>
      <w:r w:rsidRPr="005A62C2">
        <w:rPr>
          <w:rFonts w:ascii="Arial" w:eastAsia="Times New Roman" w:hAnsi="Arial" w:cs="Arial"/>
          <w:color w:val="000000" w:themeColor="text1"/>
          <w:sz w:val="24"/>
          <w:szCs w:val="24"/>
          <w:lang w:val="en-US" w:eastAsia="en-CA"/>
        </w:rPr>
        <w:t>.</w:t>
      </w:r>
    </w:p>
    <w:p w14:paraId="0D45A8AC" w14:textId="77777777" w:rsidR="005A62C2" w:rsidRPr="005A62C2" w:rsidRDefault="005A62C2" w:rsidP="005A62C2">
      <w:pPr>
        <w:pStyle w:val="Heading3"/>
        <w:rPr>
          <w:rFonts w:ascii="Arial" w:eastAsia="Times New Roman" w:hAnsi="Arial" w:cs="Arial"/>
          <w:b/>
          <w:bCs/>
          <w:color w:val="000000" w:themeColor="text1"/>
          <w:lang w:val="en-US" w:eastAsia="en-US"/>
        </w:rPr>
      </w:pPr>
      <w:r w:rsidRPr="005A62C2">
        <w:rPr>
          <w:rFonts w:ascii="Arial" w:eastAsia="Times New Roman" w:hAnsi="Arial" w:cs="Arial"/>
          <w:b/>
          <w:bCs/>
          <w:color w:val="000000" w:themeColor="text1"/>
          <w:lang w:val="en-US" w:eastAsia="en-US"/>
        </w:rPr>
        <w:t>Exclusions</w:t>
      </w:r>
    </w:p>
    <w:p w14:paraId="608C9882" w14:textId="3FA970A9" w:rsidR="005A62C2" w:rsidRPr="005A62C2" w:rsidRDefault="005A62C2" w:rsidP="005A62C2">
      <w:pPr>
        <w:spacing w:after="120" w:line="240" w:lineRule="auto"/>
        <w:ind w:right="-140"/>
        <w:contextualSpacing/>
        <w:rPr>
          <w:rFonts w:ascii="Arial" w:eastAsia="Times New Roman" w:hAnsi="Arial" w:cs="Arial"/>
          <w:color w:val="000000" w:themeColor="text1"/>
          <w:sz w:val="24"/>
          <w:szCs w:val="24"/>
          <w:lang w:val="en-US" w:eastAsia="en-CA"/>
        </w:rPr>
      </w:pPr>
      <w:r w:rsidRPr="005A62C2">
        <w:rPr>
          <w:rFonts w:ascii="Arial" w:eastAsia="Times New Roman" w:hAnsi="Arial" w:cs="Arial"/>
          <w:color w:val="000000" w:themeColor="text1"/>
          <w:sz w:val="24"/>
          <w:szCs w:val="24"/>
          <w:lang w:val="en-US" w:eastAsia="en-US"/>
        </w:rPr>
        <w:t xml:space="preserve">PPM 155 </w:t>
      </w:r>
      <w:r w:rsidRPr="005A62C2">
        <w:rPr>
          <w:rFonts w:ascii="Arial" w:eastAsia="Times New Roman" w:hAnsi="Arial" w:cs="Arial"/>
          <w:b/>
          <w:color w:val="000000" w:themeColor="text1"/>
          <w:sz w:val="24"/>
          <w:szCs w:val="24"/>
          <w:lang w:val="en-US" w:eastAsia="en-US"/>
        </w:rPr>
        <w:t>does not</w:t>
      </w:r>
      <w:r w:rsidRPr="005A62C2">
        <w:rPr>
          <w:rFonts w:ascii="Arial" w:eastAsia="Times New Roman" w:hAnsi="Arial" w:cs="Arial"/>
          <w:color w:val="000000" w:themeColor="text1"/>
          <w:sz w:val="24"/>
          <w:szCs w:val="24"/>
          <w:lang w:val="en-US" w:eastAsia="en-US"/>
        </w:rPr>
        <w:t xml:space="preserve"> apply to the administration of special education assessments which identify students with special needs or to provincially mandated assessments such as the Grade 3 and 6 EQAO. Teachers will continue to administer </w:t>
      </w:r>
      <w:proofErr w:type="gramStart"/>
      <w:r w:rsidRPr="005A62C2">
        <w:rPr>
          <w:rFonts w:ascii="Arial" w:eastAsia="Times New Roman" w:hAnsi="Arial" w:cs="Arial"/>
          <w:color w:val="000000" w:themeColor="text1"/>
          <w:sz w:val="24"/>
          <w:szCs w:val="24"/>
          <w:lang w:val="en-US" w:eastAsia="en-US"/>
        </w:rPr>
        <w:t>both of these</w:t>
      </w:r>
      <w:proofErr w:type="gramEnd"/>
      <w:r w:rsidRPr="005A62C2">
        <w:rPr>
          <w:rFonts w:ascii="Arial" w:eastAsia="Times New Roman" w:hAnsi="Arial" w:cs="Arial"/>
          <w:color w:val="000000" w:themeColor="text1"/>
          <w:sz w:val="24"/>
          <w:szCs w:val="24"/>
          <w:lang w:val="en-US" w:eastAsia="en-US"/>
        </w:rPr>
        <w:t xml:space="preserve"> types of assessments. At times a classroom teacher may be asked to administer a special education screening test such as a test to determine placements for gifted students (e.g., the </w:t>
      </w:r>
      <w:r w:rsidRPr="005A62C2">
        <w:rPr>
          <w:rFonts w:ascii="Arial" w:eastAsia="Times New Roman" w:hAnsi="Arial" w:cs="Arial"/>
          <w:i/>
          <w:color w:val="000000" w:themeColor="text1"/>
          <w:sz w:val="24"/>
          <w:szCs w:val="24"/>
          <w:lang w:val="en-US" w:eastAsia="en-US"/>
        </w:rPr>
        <w:t>Canadian Cognitive Abilities Test</w:t>
      </w:r>
      <w:r w:rsidRPr="005A62C2">
        <w:rPr>
          <w:rFonts w:ascii="Arial" w:eastAsia="Times New Roman" w:hAnsi="Arial" w:cs="Arial"/>
          <w:color w:val="000000" w:themeColor="text1"/>
          <w:sz w:val="24"/>
          <w:szCs w:val="24"/>
          <w:lang w:val="en-US" w:eastAsia="en-US"/>
        </w:rPr>
        <w:t xml:space="preserve"> – CCAT) with their entire class. Classroom teachers should administer these types of assessments </w:t>
      </w:r>
      <w:proofErr w:type="gramStart"/>
      <w:r w:rsidRPr="005A62C2">
        <w:rPr>
          <w:rFonts w:ascii="Arial" w:eastAsia="Times New Roman" w:hAnsi="Arial" w:cs="Arial"/>
          <w:color w:val="000000" w:themeColor="text1"/>
          <w:sz w:val="24"/>
          <w:szCs w:val="24"/>
          <w:lang w:val="en-US" w:eastAsia="en-US"/>
        </w:rPr>
        <w:t>as long as</w:t>
      </w:r>
      <w:proofErr w:type="gramEnd"/>
      <w:r w:rsidRPr="005A62C2">
        <w:rPr>
          <w:rFonts w:ascii="Arial" w:eastAsia="Times New Roman" w:hAnsi="Arial" w:cs="Arial"/>
          <w:color w:val="000000" w:themeColor="text1"/>
          <w:sz w:val="24"/>
          <w:szCs w:val="24"/>
          <w:lang w:val="en-US" w:eastAsia="en-US"/>
        </w:rPr>
        <w:t xml:space="preserve"> they are required only to proctor the assessment and hand them in and are not required to mark the student work.</w:t>
      </w:r>
    </w:p>
    <w:p w14:paraId="49714406" w14:textId="6BA60845" w:rsidR="005A62C2" w:rsidRPr="005A62C2" w:rsidRDefault="005A62C2" w:rsidP="005A62C2">
      <w:pPr>
        <w:pStyle w:val="Heading3"/>
        <w:rPr>
          <w:rFonts w:ascii="Arial" w:eastAsia="Times New Roman" w:hAnsi="Arial" w:cs="Arial"/>
          <w:b/>
          <w:bCs/>
          <w:color w:val="000000" w:themeColor="text1"/>
          <w:lang w:val="en-US" w:eastAsia="en-US"/>
        </w:rPr>
      </w:pPr>
      <w:r w:rsidRPr="005A62C2">
        <w:rPr>
          <w:rFonts w:ascii="Arial" w:eastAsia="Times New Roman" w:hAnsi="Arial" w:cs="Arial"/>
          <w:b/>
          <w:bCs/>
          <w:color w:val="000000" w:themeColor="text1"/>
          <w:lang w:val="en-US" w:eastAsia="en-US"/>
        </w:rPr>
        <w:t>PPM 155</w:t>
      </w:r>
    </w:p>
    <w:p w14:paraId="4D5DF2AD" w14:textId="77957048" w:rsidR="005A62C2" w:rsidRDefault="005A62C2" w:rsidP="005A62C2">
      <w:pPr>
        <w:spacing w:after="120" w:line="240" w:lineRule="auto"/>
        <w:ind w:right="-140"/>
        <w:contextualSpacing/>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For more information on </w:t>
      </w:r>
      <w:r w:rsidRPr="00E47B80">
        <w:rPr>
          <w:rFonts w:ascii="Arial" w:eastAsia="Times New Roman" w:hAnsi="Arial" w:cs="Arial"/>
          <w:sz w:val="24"/>
          <w:szCs w:val="24"/>
          <w:lang w:val="en-US" w:eastAsia="en-US"/>
        </w:rPr>
        <w:t>PPM 155</w:t>
      </w:r>
      <w:r>
        <w:rPr>
          <w:rFonts w:ascii="Arial" w:eastAsia="Times New Roman" w:hAnsi="Arial" w:cs="Arial"/>
          <w:sz w:val="24"/>
          <w:szCs w:val="24"/>
          <w:lang w:val="en-US" w:eastAsia="en-US"/>
        </w:rPr>
        <w:t>, visit the following</w:t>
      </w:r>
      <w:r w:rsidRPr="00E47B80">
        <w:rPr>
          <w:rFonts w:ascii="Arial" w:eastAsia="Times New Roman" w:hAnsi="Arial" w:cs="Arial"/>
          <w:sz w:val="24"/>
          <w:szCs w:val="24"/>
          <w:lang w:val="en-US" w:eastAsia="en-US"/>
        </w:rPr>
        <w:t xml:space="preserve"> </w:t>
      </w:r>
      <w:hyperlink r:id="rId5" w:history="1">
        <w:r>
          <w:rPr>
            <w:rStyle w:val="Hyperlink"/>
            <w:rFonts w:ascii="Arial" w:eastAsia="Times New Roman" w:hAnsi="Arial" w:cs="Arial"/>
            <w:sz w:val="24"/>
            <w:szCs w:val="24"/>
            <w:lang w:val="en-US" w:eastAsia="en-US"/>
          </w:rPr>
          <w:t>link</w:t>
        </w:r>
      </w:hyperlink>
      <w:r>
        <w:rPr>
          <w:rFonts w:ascii="Arial" w:eastAsia="Times New Roman" w:hAnsi="Arial" w:cs="Arial"/>
          <w:sz w:val="24"/>
          <w:szCs w:val="24"/>
          <w:lang w:val="en-US" w:eastAsia="en-US"/>
        </w:rPr>
        <w:t>.</w:t>
      </w:r>
    </w:p>
    <w:p w14:paraId="3B0165C1" w14:textId="77777777" w:rsidR="005A62C2" w:rsidRPr="005A62C2" w:rsidRDefault="005A62C2" w:rsidP="005A62C2">
      <w:pPr>
        <w:spacing w:after="120" w:line="240" w:lineRule="auto"/>
        <w:ind w:right="-140"/>
        <w:contextualSpacing/>
        <w:rPr>
          <w:rFonts w:ascii="Arial" w:eastAsia="Times New Roman" w:hAnsi="Arial" w:cs="Arial"/>
          <w:sz w:val="12"/>
          <w:szCs w:val="12"/>
          <w:lang w:val="en-US" w:eastAsia="en-US"/>
        </w:rPr>
      </w:pPr>
    </w:p>
    <w:p w14:paraId="2188BFFA" w14:textId="68E671BB" w:rsidR="005A62C2" w:rsidRPr="00E47B80" w:rsidRDefault="005A62C2" w:rsidP="005A62C2">
      <w:pPr>
        <w:spacing w:after="120" w:line="240" w:lineRule="auto"/>
        <w:rPr>
          <w:rFonts w:ascii="Arial" w:eastAsia="Times New Roman" w:hAnsi="Arial" w:cs="Arial"/>
          <w:sz w:val="24"/>
          <w:szCs w:val="24"/>
          <w:lang w:val="en-US" w:eastAsia="en-US"/>
        </w:rPr>
      </w:pPr>
      <w:r w:rsidRPr="005A62C2">
        <w:rPr>
          <w:rFonts w:ascii="Arial" w:eastAsia="Times New Roman" w:hAnsi="Arial" w:cs="Arial"/>
          <w:sz w:val="24"/>
          <w:szCs w:val="24"/>
          <w:lang w:val="en-US" w:eastAsia="en-US"/>
        </w:rPr>
        <w:t>For further information, contact your local ETFO president or Professional Relations Services staff at 416-962-3836 or 1-888-838-3836</w:t>
      </w:r>
    </w:p>
    <w:p w14:paraId="16399B9C" w14:textId="77777777" w:rsidR="005A62C2" w:rsidRPr="00597F6E" w:rsidRDefault="005A62C2" w:rsidP="005A62C2">
      <w:pPr>
        <w:spacing w:line="240" w:lineRule="auto"/>
        <w:rPr>
          <w:rFonts w:ascii="Arial" w:eastAsia="Times New Roman" w:hAnsi="Arial" w:cs="Arial"/>
          <w:sz w:val="20"/>
          <w:szCs w:val="20"/>
          <w:lang w:val="en-US" w:eastAsia="en-US"/>
        </w:rPr>
      </w:pPr>
      <w:proofErr w:type="gramStart"/>
      <w:r w:rsidRPr="00597F6E">
        <w:rPr>
          <w:rFonts w:ascii="Arial" w:eastAsia="Times New Roman" w:hAnsi="Arial" w:cs="Arial"/>
          <w:sz w:val="20"/>
          <w:szCs w:val="20"/>
          <w:lang w:val="en-US" w:eastAsia="en-US"/>
        </w:rPr>
        <w:t>ST:RD</w:t>
      </w:r>
      <w:proofErr w:type="gramEnd"/>
      <w:r w:rsidRPr="00597F6E">
        <w:rPr>
          <w:rFonts w:ascii="Arial" w:eastAsia="Times New Roman" w:hAnsi="Arial" w:cs="Arial"/>
          <w:sz w:val="20"/>
          <w:szCs w:val="20"/>
          <w:lang w:val="en-US" w:eastAsia="en-US"/>
        </w:rPr>
        <w:t>:SES:LL:KH</w:t>
      </w:r>
    </w:p>
    <w:p w14:paraId="443DA815" w14:textId="77777777" w:rsidR="00040AC0" w:rsidRDefault="00040AC0"/>
    <w:sectPr w:rsidR="00040AC0" w:rsidSect="005A62C2">
      <w:pgSz w:w="12240" w:h="15840"/>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849D4"/>
    <w:multiLevelType w:val="hybridMultilevel"/>
    <w:tmpl w:val="C2584D76"/>
    <w:lvl w:ilvl="0" w:tplc="C9F205A6">
      <w:numFmt w:val="bullet"/>
      <w:lvlText w:val="-"/>
      <w:lvlJc w:val="left"/>
      <w:pPr>
        <w:ind w:left="1440" w:hanging="360"/>
      </w:pPr>
      <w:rPr>
        <w:rFonts w:ascii="Arial" w:eastAsia="Times New Roma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628D76F6"/>
    <w:multiLevelType w:val="hybridMultilevel"/>
    <w:tmpl w:val="CD441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C2"/>
    <w:rsid w:val="00040AC0"/>
    <w:rsid w:val="005A62C2"/>
    <w:rsid w:val="009046E2"/>
    <w:rsid w:val="00C44C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12D6"/>
  <w15:chartTrackingRefBased/>
  <w15:docId w15:val="{F2F43592-D4C8-4BCD-81AA-D5D43DDE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C2"/>
    <w:rPr>
      <w:rFonts w:eastAsiaTheme="minorEastAsia"/>
      <w:lang w:eastAsia="zh-TW"/>
    </w:rPr>
  </w:style>
  <w:style w:type="paragraph" w:styleId="Heading1">
    <w:name w:val="heading 1"/>
    <w:basedOn w:val="Normal"/>
    <w:next w:val="Normal"/>
    <w:link w:val="Heading1Char"/>
    <w:uiPriority w:val="9"/>
    <w:qFormat/>
    <w:rsid w:val="005A6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62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2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2C2"/>
    <w:rPr>
      <w:color w:val="0563C1" w:themeColor="hyperlink"/>
      <w:u w:val="single"/>
    </w:rPr>
  </w:style>
  <w:style w:type="character" w:customStyle="1" w:styleId="Heading1Char">
    <w:name w:val="Heading 1 Char"/>
    <w:basedOn w:val="DefaultParagraphFont"/>
    <w:link w:val="Heading1"/>
    <w:uiPriority w:val="9"/>
    <w:rsid w:val="005A62C2"/>
    <w:rPr>
      <w:rFonts w:asciiTheme="majorHAnsi" w:eastAsiaTheme="majorEastAsia" w:hAnsiTheme="majorHAnsi" w:cstheme="majorBidi"/>
      <w:color w:val="2F5496" w:themeColor="accent1" w:themeShade="BF"/>
      <w:sz w:val="32"/>
      <w:szCs w:val="32"/>
      <w:lang w:eastAsia="zh-TW"/>
    </w:rPr>
  </w:style>
  <w:style w:type="character" w:customStyle="1" w:styleId="Heading2Char">
    <w:name w:val="Heading 2 Char"/>
    <w:basedOn w:val="DefaultParagraphFont"/>
    <w:link w:val="Heading2"/>
    <w:uiPriority w:val="9"/>
    <w:rsid w:val="005A62C2"/>
    <w:rPr>
      <w:rFonts w:asciiTheme="majorHAnsi" w:eastAsiaTheme="majorEastAsia" w:hAnsiTheme="majorHAnsi" w:cstheme="majorBidi"/>
      <w:color w:val="2F5496" w:themeColor="accent1" w:themeShade="BF"/>
      <w:sz w:val="26"/>
      <w:szCs w:val="26"/>
      <w:lang w:eastAsia="zh-TW"/>
    </w:rPr>
  </w:style>
  <w:style w:type="character" w:customStyle="1" w:styleId="Heading3Char">
    <w:name w:val="Heading 3 Char"/>
    <w:basedOn w:val="DefaultParagraphFont"/>
    <w:link w:val="Heading3"/>
    <w:uiPriority w:val="9"/>
    <w:rsid w:val="005A62C2"/>
    <w:rPr>
      <w:rFonts w:asciiTheme="majorHAnsi" w:eastAsiaTheme="majorEastAsia" w:hAnsiTheme="majorHAnsi" w:cstheme="majorBidi"/>
      <w:color w:val="1F3763" w:themeColor="accent1" w:themeShade="7F"/>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tario.ca/document/education-ontario-policy-and-program-direction/policyprogram-memorandum-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Costa</dc:creator>
  <cp:keywords/>
  <dc:description/>
  <cp:lastModifiedBy>Susy Costa</cp:lastModifiedBy>
  <cp:revision>2</cp:revision>
  <dcterms:created xsi:type="dcterms:W3CDTF">2024-07-11T17:37:00Z</dcterms:created>
  <dcterms:modified xsi:type="dcterms:W3CDTF">2024-07-11T17:37:00Z</dcterms:modified>
</cp:coreProperties>
</file>