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C8" w:rsidRPr="004858AE" w:rsidRDefault="009A12C8" w:rsidP="009A12C8">
      <w:pPr>
        <w:jc w:val="right"/>
        <w:rPr>
          <w:bCs/>
          <w:iCs/>
          <w:sz w:val="16"/>
          <w:szCs w:val="16"/>
          <w:lang w:val="en-GB"/>
        </w:rPr>
      </w:pPr>
      <w:r>
        <w:rPr>
          <w:noProof/>
          <w:snapToGrid/>
          <w:lang w:eastAsia="en-CA"/>
        </w:rPr>
        <w:drawing>
          <wp:anchor distT="0" distB="0" distL="114300" distR="114300" simplePos="0" relativeHeight="251660288" behindDoc="1" locked="0" layoutInCell="1" allowOverlap="1" wp14:anchorId="33047113" wp14:editId="4C72B16E">
            <wp:simplePos x="0" y="0"/>
            <wp:positionH relativeFrom="column">
              <wp:posOffset>-9525</wp:posOffset>
            </wp:positionH>
            <wp:positionV relativeFrom="paragraph">
              <wp:posOffset>-36195</wp:posOffset>
            </wp:positionV>
            <wp:extent cx="866775" cy="1155700"/>
            <wp:effectExtent l="19050" t="0" r="9525" b="0"/>
            <wp:wrapThrough wrapText="bothSides">
              <wp:wrapPolygon edited="0">
                <wp:start x="-475" y="0"/>
                <wp:lineTo x="-475" y="21363"/>
                <wp:lineTo x="21837" y="21363"/>
                <wp:lineTo x="21837" y="0"/>
                <wp:lineTo x="-475" y="0"/>
              </wp:wrapPolygon>
            </wp:wrapThrough>
            <wp:docPr id="2" name="Picture 0" descr="ETFOcheckLIGHT-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TFOcheckLIGHT-sm.jpg"/>
                    <pic:cNvPicPr>
                      <a:picLocks noChangeAspect="1" noChangeArrowheads="1"/>
                    </pic:cNvPicPr>
                  </pic:nvPicPr>
                  <pic:blipFill>
                    <a:blip r:embed="rId9" cstate="print"/>
                    <a:srcRect l="52017"/>
                    <a:stretch>
                      <a:fillRect/>
                    </a:stretch>
                  </pic:blipFill>
                  <pic:spPr bwMode="auto">
                    <a:xfrm>
                      <a:off x="0" y="0"/>
                      <a:ext cx="866775" cy="1155700"/>
                    </a:xfrm>
                    <a:prstGeom prst="rect">
                      <a:avLst/>
                    </a:prstGeom>
                    <a:noFill/>
                    <a:ln w="9525">
                      <a:noFill/>
                      <a:miter lim="800000"/>
                      <a:headEnd/>
                      <a:tailEnd/>
                    </a:ln>
                  </pic:spPr>
                </pic:pic>
              </a:graphicData>
            </a:graphic>
          </wp:anchor>
        </w:drawing>
      </w:r>
      <w:r>
        <w:rPr>
          <w:bCs/>
          <w:iCs/>
          <w:sz w:val="16"/>
          <w:szCs w:val="16"/>
          <w:lang w:val="en-GB"/>
        </w:rPr>
        <w:t>Elementary Teachers’ Federation of Ontario (ETFO)</w:t>
      </w:r>
    </w:p>
    <w:p w:rsidR="009A12C8" w:rsidRPr="004858AE" w:rsidRDefault="009A12C8" w:rsidP="009A12C8">
      <w:pPr>
        <w:jc w:val="right"/>
        <w:rPr>
          <w:bCs/>
          <w:iCs/>
          <w:sz w:val="16"/>
          <w:szCs w:val="16"/>
          <w:lang w:val="en-GB"/>
        </w:rPr>
      </w:pPr>
      <w:r>
        <w:rPr>
          <w:bCs/>
          <w:iCs/>
          <w:sz w:val="16"/>
          <w:szCs w:val="16"/>
          <w:lang w:val="en-GB"/>
        </w:rPr>
        <w:t>Fé</w:t>
      </w:r>
      <w:r w:rsidRPr="004858AE">
        <w:rPr>
          <w:bCs/>
          <w:iCs/>
          <w:sz w:val="16"/>
          <w:szCs w:val="16"/>
          <w:lang w:val="en-GB"/>
        </w:rPr>
        <w:t>d</w:t>
      </w:r>
      <w:r>
        <w:rPr>
          <w:bCs/>
          <w:iCs/>
          <w:sz w:val="16"/>
          <w:szCs w:val="16"/>
          <w:lang w:val="en-GB"/>
        </w:rPr>
        <w:t>é</w:t>
      </w:r>
      <w:r w:rsidRPr="004858AE">
        <w:rPr>
          <w:bCs/>
          <w:iCs/>
          <w:sz w:val="16"/>
          <w:szCs w:val="16"/>
          <w:lang w:val="en-GB"/>
        </w:rPr>
        <w:t>ration des enseignantes et des enseignants de l’</w:t>
      </w:r>
      <w:r>
        <w:rPr>
          <w:bCs/>
          <w:iCs/>
          <w:sz w:val="16"/>
          <w:szCs w:val="16"/>
          <w:lang w:val="en-GB"/>
        </w:rPr>
        <w:t>é</w:t>
      </w:r>
      <w:r w:rsidRPr="004858AE">
        <w:rPr>
          <w:bCs/>
          <w:iCs/>
          <w:sz w:val="16"/>
          <w:szCs w:val="16"/>
          <w:lang w:val="en-GB"/>
        </w:rPr>
        <w:t>l</w:t>
      </w:r>
      <w:r>
        <w:rPr>
          <w:bCs/>
          <w:iCs/>
          <w:sz w:val="16"/>
          <w:szCs w:val="16"/>
          <w:lang w:val="en-GB"/>
        </w:rPr>
        <w:t>émenta</w:t>
      </w:r>
      <w:r w:rsidRPr="004858AE">
        <w:rPr>
          <w:bCs/>
          <w:iCs/>
          <w:sz w:val="16"/>
          <w:szCs w:val="16"/>
          <w:lang w:val="en-GB"/>
        </w:rPr>
        <w:t>ire de l’Ontario</w:t>
      </w:r>
      <w:r>
        <w:rPr>
          <w:bCs/>
          <w:iCs/>
          <w:sz w:val="16"/>
          <w:szCs w:val="16"/>
          <w:lang w:val="en-GB"/>
        </w:rPr>
        <w:t xml:space="preserve"> (FEEO)</w:t>
      </w:r>
    </w:p>
    <w:p w:rsidR="009A12C8" w:rsidRDefault="009A12C8" w:rsidP="009A12C8">
      <w:pPr>
        <w:jc w:val="right"/>
        <w:rPr>
          <w:bCs/>
          <w:iCs/>
          <w:sz w:val="16"/>
          <w:lang w:val="en-GB"/>
        </w:rPr>
      </w:pPr>
      <w:r w:rsidRPr="00F10D35">
        <w:rPr>
          <w:bCs/>
          <w:iCs/>
          <w:sz w:val="16"/>
          <w:lang w:val="en-GB"/>
        </w:rPr>
        <w:t>136 I</w:t>
      </w:r>
      <w:r>
        <w:rPr>
          <w:bCs/>
          <w:iCs/>
          <w:sz w:val="16"/>
          <w:lang w:val="en-GB"/>
        </w:rPr>
        <w:t>sabella St</w:t>
      </w:r>
    </w:p>
    <w:p w:rsidR="009A12C8" w:rsidRPr="00F10D35" w:rsidRDefault="009A12C8" w:rsidP="009A12C8">
      <w:pPr>
        <w:jc w:val="right"/>
        <w:rPr>
          <w:bCs/>
          <w:iCs/>
          <w:sz w:val="16"/>
          <w:lang w:val="en-GB"/>
        </w:rPr>
      </w:pPr>
      <w:r>
        <w:rPr>
          <w:bCs/>
          <w:iCs/>
          <w:sz w:val="16"/>
          <w:lang w:val="en-GB"/>
        </w:rPr>
        <w:t xml:space="preserve">Toronto ON </w:t>
      </w:r>
      <w:r w:rsidRPr="00F10D35">
        <w:rPr>
          <w:bCs/>
          <w:iCs/>
          <w:sz w:val="16"/>
          <w:lang w:val="en-GB"/>
        </w:rPr>
        <w:t xml:space="preserve"> M4Y 0B5</w:t>
      </w:r>
    </w:p>
    <w:p w:rsidR="009A12C8" w:rsidRPr="00F10D35" w:rsidRDefault="009A12C8" w:rsidP="009A12C8">
      <w:pPr>
        <w:jc w:val="right"/>
        <w:rPr>
          <w:bCs/>
          <w:iCs/>
          <w:sz w:val="16"/>
          <w:lang w:val="en-GB"/>
        </w:rPr>
      </w:pPr>
      <w:r>
        <w:rPr>
          <w:bCs/>
          <w:iCs/>
          <w:sz w:val="16"/>
          <w:lang w:val="en-GB"/>
        </w:rPr>
        <w:t xml:space="preserve">Telephone: </w:t>
      </w:r>
      <w:r w:rsidRPr="00F10D35">
        <w:rPr>
          <w:bCs/>
          <w:iCs/>
          <w:sz w:val="16"/>
          <w:lang w:val="en-GB"/>
        </w:rPr>
        <w:t>416-962-3836 Toll free: 1-888-838-3836</w:t>
      </w:r>
    </w:p>
    <w:p w:rsidR="009A12C8" w:rsidRPr="00F10D35" w:rsidRDefault="009A12C8" w:rsidP="009A12C8">
      <w:pPr>
        <w:jc w:val="right"/>
        <w:rPr>
          <w:bCs/>
          <w:iCs/>
          <w:sz w:val="16"/>
          <w:lang w:val="en-GB"/>
        </w:rPr>
      </w:pPr>
      <w:r w:rsidRPr="00F10D35">
        <w:rPr>
          <w:bCs/>
          <w:iCs/>
          <w:sz w:val="16"/>
          <w:lang w:val="en-GB"/>
        </w:rPr>
        <w:t>Fax: 416-642-2424</w:t>
      </w:r>
    </w:p>
    <w:p w:rsidR="009A12C8" w:rsidRPr="00F10D35" w:rsidRDefault="009A12C8" w:rsidP="009A12C8">
      <w:pPr>
        <w:jc w:val="right"/>
        <w:rPr>
          <w:sz w:val="20"/>
          <w:lang w:val="en-GB"/>
        </w:rPr>
      </w:pPr>
      <w:r w:rsidRPr="00F10D35">
        <w:rPr>
          <w:bCs/>
          <w:iCs/>
          <w:sz w:val="16"/>
          <w:lang w:val="en-GB"/>
        </w:rPr>
        <w:t>etfo.ca</w:t>
      </w:r>
    </w:p>
    <w:p w:rsidR="00AC1143" w:rsidRPr="00D57E40" w:rsidRDefault="00AC1143" w:rsidP="0077009D">
      <w:pPr>
        <w:jc w:val="right"/>
        <w:rPr>
          <w:szCs w:val="24"/>
        </w:rPr>
      </w:pPr>
    </w:p>
    <w:p w:rsidR="009B3869" w:rsidRPr="00D57E40" w:rsidRDefault="009B3869" w:rsidP="0077009D">
      <w:pPr>
        <w:jc w:val="right"/>
        <w:rPr>
          <w:b/>
          <w:szCs w:val="24"/>
        </w:rPr>
      </w:pPr>
    </w:p>
    <w:p w:rsidR="00AC1143" w:rsidRDefault="00AC1143">
      <w:pPr>
        <w:jc w:val="center"/>
      </w:pPr>
    </w:p>
    <w:p w:rsidR="00EE2422" w:rsidRDefault="0094076A" w:rsidP="0094076A">
      <w:pPr>
        <w:widowControl/>
        <w:jc w:val="center"/>
        <w:rPr>
          <w:rFonts w:cs="Arial"/>
          <w:b/>
          <w:sz w:val="32"/>
          <w:szCs w:val="32"/>
          <w:lang w:val="en-GB"/>
        </w:rPr>
      </w:pPr>
      <w:r>
        <w:rPr>
          <w:rFonts w:cs="Arial"/>
          <w:b/>
          <w:sz w:val="32"/>
          <w:szCs w:val="32"/>
          <w:lang w:val="en-GB"/>
        </w:rPr>
        <w:t xml:space="preserve">ETFO’s Unfair Labour Practice Complaint Against </w:t>
      </w:r>
      <w:r w:rsidR="00EE2422">
        <w:rPr>
          <w:rFonts w:cs="Arial"/>
          <w:b/>
          <w:sz w:val="32"/>
          <w:szCs w:val="32"/>
          <w:lang w:val="en-GB"/>
        </w:rPr>
        <w:t xml:space="preserve">    </w:t>
      </w:r>
    </w:p>
    <w:p w:rsidR="0094076A" w:rsidRDefault="0094076A" w:rsidP="0094076A">
      <w:pPr>
        <w:widowControl/>
        <w:jc w:val="center"/>
        <w:rPr>
          <w:rFonts w:cs="Arial"/>
          <w:b/>
          <w:sz w:val="32"/>
          <w:szCs w:val="32"/>
          <w:lang w:val="en-GB"/>
        </w:rPr>
      </w:pPr>
      <w:r>
        <w:rPr>
          <w:rFonts w:cs="Arial"/>
          <w:b/>
          <w:sz w:val="32"/>
          <w:szCs w:val="32"/>
          <w:lang w:val="en-GB"/>
        </w:rPr>
        <w:t>the Government of Ontario</w:t>
      </w:r>
    </w:p>
    <w:p w:rsidR="00CA29D6" w:rsidRDefault="00CA29D6" w:rsidP="00E83A6D">
      <w:pPr>
        <w:widowControl/>
        <w:pBdr>
          <w:bottom w:val="single" w:sz="12" w:space="1" w:color="auto"/>
        </w:pBdr>
        <w:rPr>
          <w:rFonts w:cs="Arial"/>
          <w:b/>
          <w:szCs w:val="24"/>
          <w:lang w:val="en-GB"/>
        </w:rPr>
      </w:pPr>
    </w:p>
    <w:p w:rsidR="0094076A" w:rsidRDefault="0094076A" w:rsidP="00E83A6D">
      <w:pPr>
        <w:widowControl/>
        <w:rPr>
          <w:rFonts w:cs="Arial"/>
          <w:b/>
          <w:szCs w:val="24"/>
          <w:lang w:val="en-GB"/>
        </w:rPr>
      </w:pPr>
    </w:p>
    <w:p w:rsidR="0094076A" w:rsidRPr="0094076A" w:rsidRDefault="0094076A" w:rsidP="0094076A">
      <w:pPr>
        <w:tabs>
          <w:tab w:val="left" w:pos="3840"/>
        </w:tabs>
        <w:rPr>
          <w:rFonts w:cs="Arial"/>
          <w:b/>
          <w:szCs w:val="24"/>
        </w:rPr>
      </w:pPr>
      <w:r w:rsidRPr="0094076A">
        <w:rPr>
          <w:rFonts w:cs="Arial"/>
          <w:b/>
          <w:szCs w:val="24"/>
        </w:rPr>
        <w:t>OVERVIEW</w:t>
      </w:r>
      <w:r w:rsidR="005B06F2">
        <w:rPr>
          <w:rFonts w:cs="Arial"/>
          <w:b/>
          <w:szCs w:val="24"/>
        </w:rPr>
        <w:t xml:space="preserve"> OF COMPLAINT</w:t>
      </w:r>
    </w:p>
    <w:p w:rsidR="0094076A" w:rsidRPr="0094076A" w:rsidRDefault="0094076A" w:rsidP="0094076A">
      <w:pPr>
        <w:tabs>
          <w:tab w:val="left" w:pos="1860"/>
        </w:tabs>
        <w:rPr>
          <w:rFonts w:cs="Arial"/>
          <w:szCs w:val="24"/>
        </w:rPr>
      </w:pPr>
      <w:r w:rsidRPr="0094076A">
        <w:rPr>
          <w:rFonts w:cs="Arial"/>
          <w:szCs w:val="24"/>
        </w:rPr>
        <w:tab/>
      </w:r>
    </w:p>
    <w:p w:rsidR="00BA75F3" w:rsidRDefault="00127417" w:rsidP="0094076A">
      <w:pPr>
        <w:tabs>
          <w:tab w:val="left" w:pos="3840"/>
        </w:tabs>
        <w:rPr>
          <w:rFonts w:cs="Arial"/>
          <w:szCs w:val="24"/>
        </w:rPr>
      </w:pPr>
      <w:r>
        <w:rPr>
          <w:rFonts w:cs="Arial"/>
          <w:szCs w:val="24"/>
        </w:rPr>
        <w:t>On Friday, April 13, 2018,</w:t>
      </w:r>
      <w:r w:rsidR="0094076A" w:rsidRPr="0094076A">
        <w:rPr>
          <w:rFonts w:cs="Arial"/>
          <w:szCs w:val="24"/>
        </w:rPr>
        <w:t xml:space="preserve"> ETFO filed an unfair labour practice complaint with the Ontario Labour Rela</w:t>
      </w:r>
      <w:r w:rsidR="0094076A">
        <w:rPr>
          <w:rFonts w:cs="Arial"/>
          <w:szCs w:val="24"/>
        </w:rPr>
        <w:t xml:space="preserve">tions Board </w:t>
      </w:r>
      <w:r w:rsidR="004723DB">
        <w:rPr>
          <w:rFonts w:cs="Arial"/>
          <w:szCs w:val="24"/>
        </w:rPr>
        <w:t xml:space="preserve">(OLRB) </w:t>
      </w:r>
      <w:r w:rsidR="00034943">
        <w:rPr>
          <w:rFonts w:cs="Arial"/>
          <w:szCs w:val="24"/>
        </w:rPr>
        <w:t>against Ontario’s Liberal government</w:t>
      </w:r>
      <w:r w:rsidR="00BA75F3">
        <w:rPr>
          <w:rFonts w:cs="Arial"/>
          <w:szCs w:val="24"/>
        </w:rPr>
        <w:t xml:space="preserve">. </w:t>
      </w:r>
    </w:p>
    <w:p w:rsidR="00BA75F3" w:rsidRDefault="00BA75F3" w:rsidP="0094076A">
      <w:pPr>
        <w:tabs>
          <w:tab w:val="left" w:pos="3840"/>
        </w:tabs>
        <w:rPr>
          <w:rFonts w:cs="Arial"/>
          <w:szCs w:val="24"/>
        </w:rPr>
      </w:pPr>
    </w:p>
    <w:p w:rsidR="0094076A" w:rsidRPr="0094076A" w:rsidRDefault="002F0FEA" w:rsidP="0094076A">
      <w:pPr>
        <w:tabs>
          <w:tab w:val="left" w:pos="3840"/>
        </w:tabs>
        <w:rPr>
          <w:rFonts w:cs="Arial"/>
          <w:szCs w:val="24"/>
        </w:rPr>
      </w:pPr>
      <w:r>
        <w:rPr>
          <w:rFonts w:cs="Arial"/>
          <w:szCs w:val="24"/>
        </w:rPr>
        <w:t>ETFO’s conc</w:t>
      </w:r>
      <w:r w:rsidR="00034943">
        <w:rPr>
          <w:rFonts w:cs="Arial"/>
          <w:szCs w:val="24"/>
        </w:rPr>
        <w:t>erns are based on the Liberal government</w:t>
      </w:r>
      <w:r>
        <w:rPr>
          <w:rFonts w:cs="Arial"/>
          <w:szCs w:val="24"/>
        </w:rPr>
        <w:t xml:space="preserve">’s conduct during and after the 2014 round of central bargaining. </w:t>
      </w:r>
      <w:r w:rsidR="0094076A" w:rsidRPr="0094076A">
        <w:rPr>
          <w:rFonts w:cs="Arial"/>
          <w:szCs w:val="24"/>
        </w:rPr>
        <w:t>In its complaint, ETFO details how t</w:t>
      </w:r>
      <w:r w:rsidR="005B0851">
        <w:rPr>
          <w:rFonts w:cs="Arial"/>
          <w:szCs w:val="24"/>
        </w:rPr>
        <w:t xml:space="preserve">he </w:t>
      </w:r>
      <w:r w:rsidR="00034943">
        <w:rPr>
          <w:rFonts w:cs="Arial"/>
          <w:szCs w:val="24"/>
        </w:rPr>
        <w:t>Liberal government</w:t>
      </w:r>
      <w:r w:rsidR="0094076A" w:rsidRPr="0094076A">
        <w:rPr>
          <w:rFonts w:cs="Arial"/>
          <w:szCs w:val="24"/>
        </w:rPr>
        <w:t>:</w:t>
      </w:r>
    </w:p>
    <w:p w:rsidR="0094076A" w:rsidRPr="0094076A" w:rsidRDefault="0094076A" w:rsidP="0094076A">
      <w:pPr>
        <w:tabs>
          <w:tab w:val="left" w:pos="3840"/>
        </w:tabs>
        <w:rPr>
          <w:rFonts w:cs="Arial"/>
          <w:szCs w:val="24"/>
        </w:rPr>
      </w:pPr>
    </w:p>
    <w:p w:rsidR="0094076A" w:rsidRPr="0094076A" w:rsidRDefault="0094076A" w:rsidP="0094076A">
      <w:pPr>
        <w:pStyle w:val="ListParagraph"/>
        <w:widowControl w:val="0"/>
        <w:numPr>
          <w:ilvl w:val="0"/>
          <w:numId w:val="25"/>
        </w:numPr>
        <w:contextualSpacing/>
        <w:rPr>
          <w:b w:val="0"/>
        </w:rPr>
      </w:pPr>
      <w:r w:rsidRPr="0094076A">
        <w:rPr>
          <w:b w:val="0"/>
        </w:rPr>
        <w:t>made  payouts worth tens of millions of dollars to unions and employee bargaining agencies that did not challenge and, in fact,  cooperated in the Liberals’ agenda to strip education sector workers’ collective agreements during the 2012 round of education sector bargaining under Bill 115;</w:t>
      </w:r>
    </w:p>
    <w:p w:rsidR="0094076A" w:rsidRPr="0094076A" w:rsidRDefault="0094076A" w:rsidP="0094076A">
      <w:pPr>
        <w:pStyle w:val="ListParagraph"/>
        <w:widowControl w:val="0"/>
        <w:numPr>
          <w:ilvl w:val="0"/>
          <w:numId w:val="25"/>
        </w:numPr>
        <w:contextualSpacing/>
        <w:rPr>
          <w:b w:val="0"/>
        </w:rPr>
      </w:pPr>
      <w:r w:rsidRPr="0094076A">
        <w:rPr>
          <w:b w:val="0"/>
        </w:rPr>
        <w:t xml:space="preserve">engaged in coercion and reprisals, and discriminated against ETFO members because their union successfully challenged the violation of its members’ constitutionally protected rights under Bill 115; and  </w:t>
      </w:r>
    </w:p>
    <w:p w:rsidR="0094076A" w:rsidRPr="0094076A" w:rsidRDefault="0094076A" w:rsidP="0094076A">
      <w:pPr>
        <w:pStyle w:val="ListParagraph"/>
        <w:widowControl w:val="0"/>
        <w:numPr>
          <w:ilvl w:val="0"/>
          <w:numId w:val="25"/>
        </w:numPr>
        <w:contextualSpacing/>
        <w:rPr>
          <w:b w:val="0"/>
        </w:rPr>
      </w:pPr>
      <w:r w:rsidRPr="0094076A">
        <w:rPr>
          <w:b w:val="0"/>
        </w:rPr>
        <w:t>bargained in bad faith during 2014 education sector negotiations by consistently representing that all four of Ontario’s teacher unions would be receiving substantially identical financial settlements for their 2014-2017 collective agreements.</w:t>
      </w:r>
    </w:p>
    <w:p w:rsidR="0094076A" w:rsidRPr="0094076A" w:rsidRDefault="0094076A" w:rsidP="0094076A">
      <w:pPr>
        <w:rPr>
          <w:rFonts w:cs="Arial"/>
          <w:szCs w:val="24"/>
        </w:rPr>
      </w:pPr>
    </w:p>
    <w:p w:rsidR="00BA75F3" w:rsidRDefault="004723DB" w:rsidP="00BA75F3">
      <w:pPr>
        <w:tabs>
          <w:tab w:val="left" w:pos="3840"/>
        </w:tabs>
        <w:rPr>
          <w:rFonts w:cs="Arial"/>
          <w:szCs w:val="24"/>
        </w:rPr>
      </w:pPr>
      <w:r>
        <w:rPr>
          <w:rFonts w:cs="Arial"/>
          <w:szCs w:val="24"/>
        </w:rPr>
        <w:t>ETFO’s</w:t>
      </w:r>
      <w:r w:rsidR="00BA75F3">
        <w:rPr>
          <w:rFonts w:cs="Arial"/>
          <w:szCs w:val="24"/>
        </w:rPr>
        <w:t xml:space="preserve"> compl</w:t>
      </w:r>
      <w:r w:rsidR="00225704">
        <w:rPr>
          <w:rFonts w:cs="Arial"/>
          <w:szCs w:val="24"/>
        </w:rPr>
        <w:t>aint alleges that the Liberal government</w:t>
      </w:r>
      <w:r w:rsidR="00BA75F3">
        <w:rPr>
          <w:rFonts w:cs="Arial"/>
          <w:szCs w:val="24"/>
        </w:rPr>
        <w:t xml:space="preserve">’s actions violated five sections (Sections 5, 17, 70, 72, and 76) of Ontario’s </w:t>
      </w:r>
      <w:r w:rsidR="00BA75F3" w:rsidRPr="00BA75F3">
        <w:rPr>
          <w:rFonts w:cs="Arial"/>
          <w:i/>
          <w:szCs w:val="24"/>
        </w:rPr>
        <w:t>Labour Relations Act, 1995</w:t>
      </w:r>
      <w:r w:rsidR="00BA75F3">
        <w:rPr>
          <w:rFonts w:cs="Arial"/>
          <w:szCs w:val="24"/>
        </w:rPr>
        <w:t xml:space="preserve"> and three sections (Sections 4, 29 and 32) of the </w:t>
      </w:r>
      <w:r w:rsidR="00BA75F3" w:rsidRPr="00BA75F3">
        <w:rPr>
          <w:rFonts w:cs="Arial"/>
          <w:i/>
          <w:szCs w:val="24"/>
        </w:rPr>
        <w:t>School Boards Collective Bargaining Act, 2014</w:t>
      </w:r>
      <w:r w:rsidR="00F640D4">
        <w:rPr>
          <w:rFonts w:cs="Arial"/>
          <w:szCs w:val="24"/>
        </w:rPr>
        <w:t xml:space="preserve"> (also known as Bill 122).</w:t>
      </w:r>
    </w:p>
    <w:p w:rsidR="005B06F2" w:rsidRDefault="005B06F2" w:rsidP="00BA75F3">
      <w:pPr>
        <w:tabs>
          <w:tab w:val="left" w:pos="3840"/>
        </w:tabs>
        <w:rPr>
          <w:rFonts w:cs="Arial"/>
          <w:szCs w:val="24"/>
        </w:rPr>
      </w:pPr>
    </w:p>
    <w:p w:rsidR="005B06F2" w:rsidRDefault="00225704" w:rsidP="005B06F2">
      <w:pPr>
        <w:rPr>
          <w:rFonts w:cs="Arial"/>
          <w:szCs w:val="24"/>
        </w:rPr>
      </w:pPr>
      <w:r>
        <w:rPr>
          <w:rFonts w:cs="Arial"/>
          <w:szCs w:val="24"/>
        </w:rPr>
        <w:t>The Liberal government</w:t>
      </w:r>
      <w:r w:rsidR="005B06F2" w:rsidRPr="0094076A">
        <w:rPr>
          <w:rFonts w:cs="Arial"/>
          <w:szCs w:val="24"/>
        </w:rPr>
        <w:t>’s conduct only recently came to light when it confirmed</w:t>
      </w:r>
      <w:r>
        <w:rPr>
          <w:rFonts w:cs="Arial"/>
          <w:szCs w:val="24"/>
        </w:rPr>
        <w:t xml:space="preserve"> it would be providing financial payouts to </w:t>
      </w:r>
      <w:r w:rsidR="005B06F2" w:rsidRPr="0094076A">
        <w:rPr>
          <w:rFonts w:cs="Arial"/>
          <w:szCs w:val="24"/>
        </w:rPr>
        <w:t>two of four teacher unions</w:t>
      </w:r>
      <w:r>
        <w:rPr>
          <w:rFonts w:cs="Arial"/>
          <w:szCs w:val="24"/>
        </w:rPr>
        <w:t xml:space="preserve"> in the province (</w:t>
      </w:r>
      <w:r w:rsidR="005B06F2" w:rsidRPr="0094076A">
        <w:rPr>
          <w:rFonts w:cs="Arial"/>
          <w:szCs w:val="24"/>
        </w:rPr>
        <w:t>as well as oth</w:t>
      </w:r>
      <w:r w:rsidR="00270CFD">
        <w:rPr>
          <w:rFonts w:cs="Arial"/>
          <w:szCs w:val="24"/>
        </w:rPr>
        <w:t xml:space="preserve">er organizations that negotiate on behalf of </w:t>
      </w:r>
      <w:r w:rsidR="00402824">
        <w:rPr>
          <w:rFonts w:cs="Arial"/>
          <w:szCs w:val="24"/>
        </w:rPr>
        <w:t xml:space="preserve">education sector </w:t>
      </w:r>
      <w:bookmarkStart w:id="0" w:name="_GoBack"/>
      <w:bookmarkEnd w:id="0"/>
      <w:r w:rsidR="00270CFD">
        <w:rPr>
          <w:rFonts w:cs="Arial"/>
          <w:szCs w:val="24"/>
        </w:rPr>
        <w:t>employees</w:t>
      </w:r>
      <w:r>
        <w:rPr>
          <w:rFonts w:cs="Arial"/>
          <w:szCs w:val="24"/>
        </w:rPr>
        <w:t xml:space="preserve">) </w:t>
      </w:r>
      <w:r w:rsidR="005B06F2" w:rsidRPr="0094076A">
        <w:rPr>
          <w:rFonts w:cs="Arial"/>
          <w:szCs w:val="24"/>
        </w:rPr>
        <w:t xml:space="preserve">totalling tens of millions of dollars, essentially for their non-participation in the Bill 115 </w:t>
      </w:r>
      <w:r w:rsidR="005B06F2" w:rsidRPr="0094076A">
        <w:rPr>
          <w:rFonts w:cs="Arial"/>
          <w:i/>
          <w:szCs w:val="24"/>
        </w:rPr>
        <w:t>Charter</w:t>
      </w:r>
      <w:r w:rsidR="005B06F2" w:rsidRPr="0094076A">
        <w:rPr>
          <w:rFonts w:cs="Arial"/>
          <w:szCs w:val="24"/>
        </w:rPr>
        <w:t xml:space="preserve"> challenge. </w:t>
      </w:r>
      <w:r w:rsidR="005B06F2">
        <w:rPr>
          <w:rFonts w:cs="Arial"/>
          <w:szCs w:val="24"/>
        </w:rPr>
        <w:t xml:space="preserve">ETFO’s complaint </w:t>
      </w:r>
      <w:r w:rsidR="00556670">
        <w:rPr>
          <w:rFonts w:cs="Arial"/>
          <w:szCs w:val="24"/>
        </w:rPr>
        <w:t xml:space="preserve">includes a request for production of all </w:t>
      </w:r>
      <w:r w:rsidR="005B06F2">
        <w:rPr>
          <w:rFonts w:cs="Arial"/>
          <w:szCs w:val="24"/>
        </w:rPr>
        <w:t>documents related to</w:t>
      </w:r>
      <w:r w:rsidR="00101C02">
        <w:rPr>
          <w:rFonts w:cs="Arial"/>
          <w:szCs w:val="24"/>
        </w:rPr>
        <w:t xml:space="preserve"> these recent settlements</w:t>
      </w:r>
      <w:r w:rsidR="00556670">
        <w:rPr>
          <w:rFonts w:cs="Arial"/>
          <w:szCs w:val="24"/>
        </w:rPr>
        <w:t>.</w:t>
      </w:r>
    </w:p>
    <w:p w:rsidR="00F0217B" w:rsidRDefault="00F0217B" w:rsidP="005B06F2">
      <w:pPr>
        <w:rPr>
          <w:rFonts w:cs="Arial"/>
          <w:b/>
          <w:szCs w:val="24"/>
        </w:rPr>
      </w:pPr>
    </w:p>
    <w:p w:rsidR="00101C02" w:rsidRPr="00101C02" w:rsidRDefault="00101C02" w:rsidP="005B06F2">
      <w:pPr>
        <w:rPr>
          <w:rFonts w:cs="Arial"/>
          <w:b/>
          <w:szCs w:val="24"/>
        </w:rPr>
      </w:pPr>
      <w:r w:rsidRPr="00101C02">
        <w:rPr>
          <w:rFonts w:cs="Arial"/>
          <w:b/>
          <w:szCs w:val="24"/>
        </w:rPr>
        <w:t>CORRECTIVE ACTION SOUGHT BY ETFO</w:t>
      </w:r>
    </w:p>
    <w:p w:rsidR="005B06F2" w:rsidRDefault="005B06F2" w:rsidP="00BA75F3">
      <w:pPr>
        <w:tabs>
          <w:tab w:val="left" w:pos="3840"/>
        </w:tabs>
        <w:rPr>
          <w:rFonts w:cs="Arial"/>
          <w:szCs w:val="24"/>
        </w:rPr>
      </w:pPr>
    </w:p>
    <w:p w:rsidR="00945345" w:rsidRDefault="003E66DF" w:rsidP="00945345">
      <w:pPr>
        <w:rPr>
          <w:rFonts w:cs="Arial"/>
        </w:rPr>
      </w:pPr>
      <w:r>
        <w:rPr>
          <w:rFonts w:cs="Arial"/>
        </w:rPr>
        <w:t>ETFO is seeking</w:t>
      </w:r>
      <w:r w:rsidR="00F172DC">
        <w:rPr>
          <w:rFonts w:cs="Arial"/>
        </w:rPr>
        <w:t xml:space="preserve"> the</w:t>
      </w:r>
      <w:r w:rsidR="00945345">
        <w:rPr>
          <w:rFonts w:cs="Arial"/>
        </w:rPr>
        <w:t xml:space="preserve"> following corrective action from the OLRB:</w:t>
      </w:r>
    </w:p>
    <w:p w:rsidR="00945345" w:rsidRDefault="00945345" w:rsidP="00945345">
      <w:pPr>
        <w:rPr>
          <w:rFonts w:cs="Arial"/>
        </w:rPr>
      </w:pPr>
    </w:p>
    <w:p w:rsidR="00945345" w:rsidRPr="00EE2422" w:rsidRDefault="00945345" w:rsidP="00945345">
      <w:pPr>
        <w:pStyle w:val="ListParagraph"/>
        <w:numPr>
          <w:ilvl w:val="0"/>
          <w:numId w:val="24"/>
        </w:numPr>
        <w:spacing w:after="200" w:line="276" w:lineRule="auto"/>
        <w:contextualSpacing/>
        <w:rPr>
          <w:b w:val="0"/>
        </w:rPr>
      </w:pPr>
      <w:r w:rsidRPr="00EE2422">
        <w:rPr>
          <w:b w:val="0"/>
        </w:rPr>
        <w:lastRenderedPageBreak/>
        <w:t xml:space="preserve">A declaration from the OLRB that the Liberal government violated </w:t>
      </w:r>
      <w:r w:rsidR="00F640D4">
        <w:rPr>
          <w:b w:val="0"/>
        </w:rPr>
        <w:t xml:space="preserve">its obligations under </w:t>
      </w:r>
      <w:r w:rsidRPr="00717E10">
        <w:rPr>
          <w:b w:val="0"/>
          <w:i/>
        </w:rPr>
        <w:t>Labour Relations Act</w:t>
      </w:r>
      <w:r w:rsidR="00F640D4">
        <w:rPr>
          <w:b w:val="0"/>
        </w:rPr>
        <w:t xml:space="preserve"> and Bill 122</w:t>
      </w:r>
      <w:r w:rsidR="00717E10">
        <w:rPr>
          <w:b w:val="0"/>
        </w:rPr>
        <w:t>;</w:t>
      </w:r>
    </w:p>
    <w:p w:rsidR="00945345" w:rsidRPr="00EE2422" w:rsidRDefault="00945345" w:rsidP="00945345">
      <w:pPr>
        <w:pStyle w:val="ListParagraph"/>
        <w:numPr>
          <w:ilvl w:val="0"/>
          <w:numId w:val="24"/>
        </w:numPr>
        <w:spacing w:after="200" w:line="276" w:lineRule="auto"/>
        <w:contextualSpacing/>
        <w:rPr>
          <w:b w:val="0"/>
        </w:rPr>
      </w:pPr>
      <w:r w:rsidRPr="00EE2422">
        <w:rPr>
          <w:b w:val="0"/>
        </w:rPr>
        <w:t>An order from t</w:t>
      </w:r>
      <w:r w:rsidR="00225704">
        <w:rPr>
          <w:b w:val="0"/>
        </w:rPr>
        <w:t>he OLRB directing the Liberal government</w:t>
      </w:r>
      <w:r w:rsidRPr="00EE2422">
        <w:rPr>
          <w:b w:val="0"/>
        </w:rPr>
        <w:t xml:space="preserve"> to provide compensation to ETFO members that is no less than the collective amount recently provided (or to be provide</w:t>
      </w:r>
      <w:r w:rsidR="00225704">
        <w:rPr>
          <w:b w:val="0"/>
        </w:rPr>
        <w:t xml:space="preserve">d) </w:t>
      </w:r>
      <w:r w:rsidRPr="00EE2422">
        <w:rPr>
          <w:b w:val="0"/>
        </w:rPr>
        <w:t>to unions and other bargaining agents that were not part of t</w:t>
      </w:r>
      <w:r w:rsidR="00F0217B">
        <w:rPr>
          <w:b w:val="0"/>
        </w:rPr>
        <w:t xml:space="preserve">he Bill 115 </w:t>
      </w:r>
      <w:r w:rsidR="00F0217B" w:rsidRPr="00225704">
        <w:rPr>
          <w:b w:val="0"/>
          <w:i/>
        </w:rPr>
        <w:t>Charter</w:t>
      </w:r>
      <w:r w:rsidR="00F0217B">
        <w:rPr>
          <w:b w:val="0"/>
        </w:rPr>
        <w:t xml:space="preserve"> challenge</w:t>
      </w:r>
      <w:r w:rsidRPr="00EE2422">
        <w:rPr>
          <w:b w:val="0"/>
        </w:rPr>
        <w:t>;</w:t>
      </w:r>
    </w:p>
    <w:p w:rsidR="00945345" w:rsidRPr="00EE2422" w:rsidRDefault="00F0217B" w:rsidP="00945345">
      <w:pPr>
        <w:pStyle w:val="ListParagraph"/>
        <w:numPr>
          <w:ilvl w:val="0"/>
          <w:numId w:val="24"/>
        </w:numPr>
        <w:spacing w:after="200" w:line="276" w:lineRule="auto"/>
        <w:contextualSpacing/>
        <w:rPr>
          <w:b w:val="0"/>
        </w:rPr>
      </w:pPr>
      <w:r>
        <w:rPr>
          <w:b w:val="0"/>
        </w:rPr>
        <w:t xml:space="preserve">Damages for violating the </w:t>
      </w:r>
      <w:r w:rsidRPr="00725480">
        <w:rPr>
          <w:b w:val="0"/>
          <w:i/>
        </w:rPr>
        <w:t>Labour Relations Act</w:t>
      </w:r>
      <w:r>
        <w:rPr>
          <w:b w:val="0"/>
        </w:rPr>
        <w:t xml:space="preserve"> and Bill 122; and</w:t>
      </w:r>
    </w:p>
    <w:p w:rsidR="00945345" w:rsidRPr="00EE2422" w:rsidRDefault="00945345" w:rsidP="00945345">
      <w:pPr>
        <w:pStyle w:val="ListParagraph"/>
        <w:numPr>
          <w:ilvl w:val="0"/>
          <w:numId w:val="24"/>
        </w:numPr>
        <w:spacing w:after="200" w:line="276" w:lineRule="auto"/>
        <w:contextualSpacing/>
        <w:rPr>
          <w:b w:val="0"/>
        </w:rPr>
      </w:pPr>
      <w:r w:rsidRPr="00EE2422">
        <w:rPr>
          <w:b w:val="0"/>
        </w:rPr>
        <w:t>Any other remedy that ETFO may seek or that the OLRB permits.</w:t>
      </w:r>
    </w:p>
    <w:p w:rsidR="0094076A" w:rsidRDefault="00F0217B" w:rsidP="0094076A">
      <w:pPr>
        <w:rPr>
          <w:rFonts w:cs="Arial"/>
        </w:rPr>
      </w:pPr>
      <w:r>
        <w:rPr>
          <w:rFonts w:cs="Arial"/>
          <w:b/>
        </w:rPr>
        <w:t>BACKGROUND INFORMATION</w:t>
      </w:r>
    </w:p>
    <w:p w:rsidR="00EE2422" w:rsidRPr="00B04E78" w:rsidRDefault="00EE2422" w:rsidP="0094076A">
      <w:pPr>
        <w:rPr>
          <w:rFonts w:cs="Arial"/>
        </w:rPr>
      </w:pPr>
    </w:p>
    <w:p w:rsidR="0094076A" w:rsidRPr="00A60863" w:rsidRDefault="00945345" w:rsidP="0094076A">
      <w:pPr>
        <w:rPr>
          <w:rFonts w:cs="Arial"/>
          <w:b/>
        </w:rPr>
      </w:pPr>
      <w:r w:rsidRPr="00F0217B">
        <w:rPr>
          <w:rFonts w:cs="Arial"/>
          <w:b/>
          <w:i/>
        </w:rPr>
        <w:t>Putting Students First Act, 2012</w:t>
      </w:r>
      <w:r w:rsidR="0094076A" w:rsidRPr="00A60863">
        <w:rPr>
          <w:rFonts w:cs="Arial"/>
          <w:b/>
        </w:rPr>
        <w:t xml:space="preserve"> </w:t>
      </w:r>
      <w:r>
        <w:rPr>
          <w:rFonts w:cs="Arial"/>
          <w:b/>
        </w:rPr>
        <w:t>(</w:t>
      </w:r>
      <w:r w:rsidR="0094076A" w:rsidRPr="00A60863">
        <w:rPr>
          <w:rFonts w:cs="Arial"/>
          <w:b/>
        </w:rPr>
        <w:t>Bi</w:t>
      </w:r>
      <w:r>
        <w:rPr>
          <w:rFonts w:cs="Arial"/>
          <w:b/>
        </w:rPr>
        <w:t>ll 115)</w:t>
      </w:r>
    </w:p>
    <w:p w:rsidR="00EE2422" w:rsidRPr="00A60863" w:rsidRDefault="00EE2422" w:rsidP="0094076A">
      <w:pPr>
        <w:rPr>
          <w:rFonts w:cs="Arial"/>
          <w:b/>
        </w:rPr>
      </w:pPr>
    </w:p>
    <w:p w:rsidR="0094076A" w:rsidRPr="00341249" w:rsidRDefault="0094076A" w:rsidP="0094076A">
      <w:pPr>
        <w:pStyle w:val="ListParagraph"/>
        <w:numPr>
          <w:ilvl w:val="0"/>
          <w:numId w:val="23"/>
        </w:numPr>
        <w:spacing w:after="200" w:line="276" w:lineRule="auto"/>
        <w:contextualSpacing/>
        <w:rPr>
          <w:b w:val="0"/>
        </w:rPr>
      </w:pPr>
      <w:r w:rsidRPr="00341249">
        <w:rPr>
          <w:b w:val="0"/>
        </w:rPr>
        <w:t xml:space="preserve">In </w:t>
      </w:r>
      <w:r w:rsidRPr="00A60863">
        <w:t>February 2012</w:t>
      </w:r>
      <w:r w:rsidR="00225704">
        <w:rPr>
          <w:b w:val="0"/>
        </w:rPr>
        <w:t xml:space="preserve"> the Liberal government</w:t>
      </w:r>
      <w:r w:rsidRPr="00341249">
        <w:rPr>
          <w:b w:val="0"/>
        </w:rPr>
        <w:t xml:space="preserve"> met with ed</w:t>
      </w:r>
      <w:r w:rsidR="00341249">
        <w:rPr>
          <w:b w:val="0"/>
        </w:rPr>
        <w:t xml:space="preserve">ucation sector unions, </w:t>
      </w:r>
      <w:r w:rsidRPr="00341249">
        <w:rPr>
          <w:b w:val="0"/>
        </w:rPr>
        <w:t>and described the signifi</w:t>
      </w:r>
      <w:r w:rsidR="00341249">
        <w:rPr>
          <w:b w:val="0"/>
        </w:rPr>
        <w:t>cant concessions it would be seeking from them d</w:t>
      </w:r>
      <w:r w:rsidR="00D64A4F">
        <w:rPr>
          <w:b w:val="0"/>
        </w:rPr>
        <w:t>uring provincial negotiations during</w:t>
      </w:r>
      <w:r w:rsidR="00341249">
        <w:rPr>
          <w:b w:val="0"/>
        </w:rPr>
        <w:t xml:space="preserve"> the 2012 round of collective bargaining.</w:t>
      </w:r>
    </w:p>
    <w:p w:rsidR="0094076A" w:rsidRPr="00341249" w:rsidRDefault="0094076A" w:rsidP="0094076A">
      <w:pPr>
        <w:pStyle w:val="ListParagraph"/>
        <w:numPr>
          <w:ilvl w:val="0"/>
          <w:numId w:val="23"/>
        </w:numPr>
        <w:spacing w:after="200" w:line="276" w:lineRule="auto"/>
        <w:contextualSpacing/>
        <w:rPr>
          <w:b w:val="0"/>
        </w:rPr>
      </w:pPr>
      <w:r w:rsidRPr="00341249">
        <w:rPr>
          <w:b w:val="0"/>
        </w:rPr>
        <w:t xml:space="preserve">On </w:t>
      </w:r>
      <w:r w:rsidRPr="00A60863">
        <w:t>July 5, 2012</w:t>
      </w:r>
      <w:r w:rsidRPr="00341249">
        <w:rPr>
          <w:b w:val="0"/>
        </w:rPr>
        <w:t>, the Ontario English Catholic Teachers’ Association (OECTA) entered into an agreement (</w:t>
      </w:r>
      <w:r w:rsidR="00225704">
        <w:rPr>
          <w:b w:val="0"/>
        </w:rPr>
        <w:t xml:space="preserve">i.e., a </w:t>
      </w:r>
      <w:r w:rsidRPr="00341249">
        <w:rPr>
          <w:b w:val="0"/>
        </w:rPr>
        <w:t>Memorandum of Understanding – or “MOU”</w:t>
      </w:r>
      <w:r w:rsidR="00D64A4F">
        <w:rPr>
          <w:b w:val="0"/>
        </w:rPr>
        <w:t>) with the Liberal government</w:t>
      </w:r>
      <w:r w:rsidRPr="00341249">
        <w:rPr>
          <w:b w:val="0"/>
        </w:rPr>
        <w:t>. The OECTA MOU included</w:t>
      </w:r>
      <w:r w:rsidR="00341249">
        <w:rPr>
          <w:b w:val="0"/>
        </w:rPr>
        <w:t xml:space="preserve"> a number of significant alter</w:t>
      </w:r>
      <w:r w:rsidRPr="00341249">
        <w:rPr>
          <w:b w:val="0"/>
        </w:rPr>
        <w:t>ations to the terms and condition</w:t>
      </w:r>
      <w:r w:rsidR="00A60863">
        <w:rPr>
          <w:b w:val="0"/>
        </w:rPr>
        <w:t>s of OECTA collective a</w:t>
      </w:r>
      <w:r w:rsidR="00EA11FE">
        <w:rPr>
          <w:b w:val="0"/>
        </w:rPr>
        <w:t xml:space="preserve">greements, including a </w:t>
      </w:r>
      <w:r w:rsidR="00A60863">
        <w:rPr>
          <w:b w:val="0"/>
        </w:rPr>
        <w:t>partial</w:t>
      </w:r>
      <w:r w:rsidR="000F654D">
        <w:rPr>
          <w:b w:val="0"/>
        </w:rPr>
        <w:t xml:space="preserve"> freeze on salary grid movement</w:t>
      </w:r>
      <w:r w:rsidR="00EA11FE">
        <w:rPr>
          <w:b w:val="0"/>
        </w:rPr>
        <w:t xml:space="preserve">, as well as </w:t>
      </w:r>
      <w:r w:rsidR="00A60863">
        <w:rPr>
          <w:b w:val="0"/>
        </w:rPr>
        <w:t xml:space="preserve">the elimination of sick leave banks and retirement gratuities. </w:t>
      </w:r>
    </w:p>
    <w:p w:rsidR="0094076A" w:rsidRPr="00341249" w:rsidRDefault="00BD0D14" w:rsidP="0094076A">
      <w:pPr>
        <w:pStyle w:val="ListParagraph"/>
        <w:numPr>
          <w:ilvl w:val="0"/>
          <w:numId w:val="23"/>
        </w:numPr>
        <w:spacing w:after="200" w:line="276" w:lineRule="auto"/>
        <w:contextualSpacing/>
        <w:rPr>
          <w:b w:val="0"/>
        </w:rPr>
      </w:pPr>
      <w:r>
        <w:rPr>
          <w:b w:val="0"/>
        </w:rPr>
        <w:t>A significant concession</w:t>
      </w:r>
      <w:r w:rsidR="0094076A" w:rsidRPr="00341249">
        <w:rPr>
          <w:b w:val="0"/>
        </w:rPr>
        <w:t xml:space="preserve"> agreed to by OECTA was a delay on salary grid movement</w:t>
      </w:r>
      <w:r w:rsidR="00341249">
        <w:rPr>
          <w:b w:val="0"/>
        </w:rPr>
        <w:t xml:space="preserve">, which meant that </w:t>
      </w:r>
      <w:r w:rsidR="0094076A" w:rsidRPr="00341249">
        <w:rPr>
          <w:b w:val="0"/>
        </w:rPr>
        <w:t>grid movement for OECTA members would occur on the 97</w:t>
      </w:r>
      <w:r w:rsidR="0094076A" w:rsidRPr="00341249">
        <w:rPr>
          <w:b w:val="0"/>
          <w:vertAlign w:val="superscript"/>
        </w:rPr>
        <w:t>th</w:t>
      </w:r>
      <w:r w:rsidR="0094076A" w:rsidRPr="00341249">
        <w:rPr>
          <w:b w:val="0"/>
        </w:rPr>
        <w:t xml:space="preserve"> day of the school year rather than on the first day of the school year. The delay in salary grid movement was to o</w:t>
      </w:r>
      <w:r>
        <w:rPr>
          <w:b w:val="0"/>
        </w:rPr>
        <w:t>ccur over two school years –</w:t>
      </w:r>
      <w:r w:rsidR="0094076A" w:rsidRPr="00341249">
        <w:rPr>
          <w:b w:val="0"/>
        </w:rPr>
        <w:t xml:space="preserve"> 2012-2013</w:t>
      </w:r>
      <w:r>
        <w:rPr>
          <w:b w:val="0"/>
        </w:rPr>
        <w:t xml:space="preserve"> and 2013-2014</w:t>
      </w:r>
      <w:r w:rsidR="0094076A" w:rsidRPr="00341249">
        <w:rPr>
          <w:b w:val="0"/>
        </w:rPr>
        <w:t>.</w:t>
      </w:r>
    </w:p>
    <w:p w:rsidR="0094076A" w:rsidRPr="00341249" w:rsidRDefault="0094076A" w:rsidP="0094076A">
      <w:pPr>
        <w:pStyle w:val="ListParagraph"/>
        <w:numPr>
          <w:ilvl w:val="0"/>
          <w:numId w:val="23"/>
        </w:numPr>
        <w:spacing w:after="200" w:line="276" w:lineRule="auto"/>
        <w:contextualSpacing/>
        <w:rPr>
          <w:b w:val="0"/>
        </w:rPr>
      </w:pPr>
      <w:r w:rsidRPr="00341249">
        <w:rPr>
          <w:b w:val="0"/>
        </w:rPr>
        <w:t xml:space="preserve">On </w:t>
      </w:r>
      <w:r w:rsidRPr="00A60863">
        <w:t>August 9, 2012</w:t>
      </w:r>
      <w:r w:rsidRPr="00341249">
        <w:rPr>
          <w:b w:val="0"/>
        </w:rPr>
        <w:t>,</w:t>
      </w:r>
      <w:r w:rsidR="00341249">
        <w:rPr>
          <w:b w:val="0"/>
        </w:rPr>
        <w:t xml:space="preserve"> a second teacher union,</w:t>
      </w:r>
      <w:r w:rsidRPr="00341249">
        <w:rPr>
          <w:b w:val="0"/>
        </w:rPr>
        <w:t xml:space="preserve"> L’Association des Enseignants et des Ensignants Franco-Ontariens (AEFO)</w:t>
      </w:r>
      <w:r w:rsidR="00341249">
        <w:rPr>
          <w:b w:val="0"/>
        </w:rPr>
        <w:t>,</w:t>
      </w:r>
      <w:r w:rsidRPr="00341249">
        <w:rPr>
          <w:b w:val="0"/>
        </w:rPr>
        <w:t xml:space="preserve"> entered into an agreement with t</w:t>
      </w:r>
      <w:r w:rsidR="000F654D">
        <w:rPr>
          <w:b w:val="0"/>
        </w:rPr>
        <w:t>he</w:t>
      </w:r>
      <w:r w:rsidR="00BD0D14">
        <w:rPr>
          <w:b w:val="0"/>
        </w:rPr>
        <w:t xml:space="preserve"> Liberal government. Like the OECTA MOU, the</w:t>
      </w:r>
      <w:r w:rsidR="000F654D">
        <w:rPr>
          <w:b w:val="0"/>
        </w:rPr>
        <w:t xml:space="preserve"> AEFO MOU</w:t>
      </w:r>
      <w:r w:rsidR="00BD0D14">
        <w:rPr>
          <w:b w:val="0"/>
        </w:rPr>
        <w:t xml:space="preserve"> included </w:t>
      </w:r>
      <w:r w:rsidRPr="00341249">
        <w:rPr>
          <w:b w:val="0"/>
        </w:rPr>
        <w:t>provisions that delayed salary grid movement to the 97</w:t>
      </w:r>
      <w:r w:rsidRPr="00341249">
        <w:rPr>
          <w:b w:val="0"/>
          <w:vertAlign w:val="superscript"/>
        </w:rPr>
        <w:t>th</w:t>
      </w:r>
      <w:r w:rsidRPr="00341249">
        <w:rPr>
          <w:b w:val="0"/>
        </w:rPr>
        <w:t xml:space="preserve"> day for AEFO members.</w:t>
      </w:r>
    </w:p>
    <w:p w:rsidR="0094076A" w:rsidRPr="00341249" w:rsidRDefault="0094076A" w:rsidP="0094076A">
      <w:pPr>
        <w:pStyle w:val="ListParagraph"/>
        <w:numPr>
          <w:ilvl w:val="0"/>
          <w:numId w:val="23"/>
        </w:numPr>
        <w:spacing w:after="200" w:line="276" w:lineRule="auto"/>
        <w:contextualSpacing/>
        <w:rPr>
          <w:b w:val="0"/>
        </w:rPr>
      </w:pPr>
      <w:r w:rsidRPr="00341249">
        <w:rPr>
          <w:b w:val="0"/>
        </w:rPr>
        <w:t xml:space="preserve">Over the </w:t>
      </w:r>
      <w:r w:rsidRPr="00D14BC9">
        <w:t>summer of 2012</w:t>
      </w:r>
      <w:r w:rsidRPr="00341249">
        <w:rPr>
          <w:b w:val="0"/>
        </w:rPr>
        <w:t xml:space="preserve"> ETFO refused to participate in negotiations under the conditions and </w:t>
      </w:r>
      <w:r w:rsidR="000F654D">
        <w:rPr>
          <w:b w:val="0"/>
        </w:rPr>
        <w:t>limitations set by the Liberal g</w:t>
      </w:r>
      <w:r w:rsidRPr="00341249">
        <w:rPr>
          <w:b w:val="0"/>
        </w:rPr>
        <w:t>overnment.</w:t>
      </w:r>
    </w:p>
    <w:p w:rsidR="0094076A" w:rsidRPr="000F654D" w:rsidRDefault="0094076A" w:rsidP="00A60863">
      <w:pPr>
        <w:pStyle w:val="ListParagraph"/>
        <w:numPr>
          <w:ilvl w:val="0"/>
          <w:numId w:val="23"/>
        </w:numPr>
        <w:spacing w:after="200" w:line="276" w:lineRule="auto"/>
        <w:contextualSpacing/>
        <w:rPr>
          <w:b w:val="0"/>
        </w:rPr>
      </w:pPr>
      <w:r w:rsidRPr="00341249">
        <w:rPr>
          <w:b w:val="0"/>
        </w:rPr>
        <w:t xml:space="preserve">On </w:t>
      </w:r>
      <w:r w:rsidRPr="00A60863">
        <w:t>September 11, 2012</w:t>
      </w:r>
      <w:r w:rsidR="000F654D">
        <w:rPr>
          <w:b w:val="0"/>
        </w:rPr>
        <w:t>, the Liberal government</w:t>
      </w:r>
      <w:r w:rsidRPr="00341249">
        <w:rPr>
          <w:b w:val="0"/>
        </w:rPr>
        <w:t xml:space="preserve"> introduced (and subsequently enacted) the </w:t>
      </w:r>
      <w:r w:rsidRPr="00341249">
        <w:rPr>
          <w:b w:val="0"/>
          <w:i/>
        </w:rPr>
        <w:t>Putting Students First Act, 2012</w:t>
      </w:r>
      <w:r w:rsidRPr="00341249">
        <w:rPr>
          <w:b w:val="0"/>
        </w:rPr>
        <w:t xml:space="preserve"> – also known as Bill 115.</w:t>
      </w:r>
      <w:r w:rsidR="00A60863">
        <w:rPr>
          <w:b w:val="0"/>
        </w:rPr>
        <w:t xml:space="preserve"> </w:t>
      </w:r>
      <w:r w:rsidRPr="00A60863">
        <w:rPr>
          <w:b w:val="0"/>
        </w:rPr>
        <w:t xml:space="preserve">Bill 115 set out the terms under which education sector collective agreements were to be negotiated or, if negotiations were not achieved, imposed on education sector workers for the period of </w:t>
      </w:r>
      <w:r w:rsidRPr="000F654D">
        <w:rPr>
          <w:b w:val="0"/>
        </w:rPr>
        <w:t>September 1, 2012 to August 31, 2014</w:t>
      </w:r>
      <w:r w:rsidR="00A60863" w:rsidRPr="000F654D">
        <w:rPr>
          <w:b w:val="0"/>
        </w:rPr>
        <w:t>.</w:t>
      </w:r>
    </w:p>
    <w:p w:rsidR="00341249" w:rsidRPr="00D14BC9" w:rsidRDefault="0094076A" w:rsidP="00D14BC9">
      <w:pPr>
        <w:pStyle w:val="ListParagraph"/>
        <w:numPr>
          <w:ilvl w:val="0"/>
          <w:numId w:val="23"/>
        </w:numPr>
        <w:spacing w:after="200" w:line="276" w:lineRule="auto"/>
        <w:contextualSpacing/>
        <w:rPr>
          <w:b w:val="0"/>
        </w:rPr>
      </w:pPr>
      <w:r w:rsidRPr="00341249">
        <w:rPr>
          <w:b w:val="0"/>
        </w:rPr>
        <w:t xml:space="preserve">The terms of Bill 115 required all education sector collective agreements negotiated after </w:t>
      </w:r>
      <w:r w:rsidR="00341249" w:rsidRPr="00D14BC9">
        <w:rPr>
          <w:b w:val="0"/>
        </w:rPr>
        <w:t>August 31, 2012</w:t>
      </w:r>
      <w:r w:rsidR="00BD0D14">
        <w:rPr>
          <w:b w:val="0"/>
        </w:rPr>
        <w:t>,</w:t>
      </w:r>
      <w:r w:rsidR="00341249" w:rsidRPr="00D14BC9">
        <w:rPr>
          <w:b w:val="0"/>
        </w:rPr>
        <w:t xml:space="preserve"> to be “substantively identical” to the terms in the OECTA MOU.</w:t>
      </w:r>
      <w:r w:rsidR="00D14BC9" w:rsidRPr="00D14BC9">
        <w:rPr>
          <w:b w:val="0"/>
        </w:rPr>
        <w:t xml:space="preserve"> </w:t>
      </w:r>
      <w:r w:rsidR="00342E2E" w:rsidRPr="00D14BC9">
        <w:rPr>
          <w:b w:val="0"/>
        </w:rPr>
        <w:t>ETFO</w:t>
      </w:r>
      <w:r w:rsidR="00341249" w:rsidRPr="00D14BC9">
        <w:rPr>
          <w:b w:val="0"/>
        </w:rPr>
        <w:t xml:space="preserve"> would not agree to th</w:t>
      </w:r>
      <w:r w:rsidR="00342E2E" w:rsidRPr="00D14BC9">
        <w:rPr>
          <w:b w:val="0"/>
        </w:rPr>
        <w:t xml:space="preserve">e significant changes to </w:t>
      </w:r>
      <w:r w:rsidR="00341249" w:rsidRPr="00D14BC9">
        <w:rPr>
          <w:b w:val="0"/>
        </w:rPr>
        <w:t xml:space="preserve">collective agreements </w:t>
      </w:r>
      <w:r w:rsidR="00D57524" w:rsidRPr="00D14BC9">
        <w:rPr>
          <w:b w:val="0"/>
        </w:rPr>
        <w:t>included in Bill 115.</w:t>
      </w:r>
    </w:p>
    <w:p w:rsidR="00A60863" w:rsidRPr="00D14BC9" w:rsidRDefault="00D57524" w:rsidP="00D14BC9">
      <w:pPr>
        <w:pStyle w:val="ListParagraph"/>
        <w:numPr>
          <w:ilvl w:val="0"/>
          <w:numId w:val="23"/>
        </w:numPr>
        <w:spacing w:after="200" w:line="276" w:lineRule="auto"/>
        <w:contextualSpacing/>
        <w:rPr>
          <w:b w:val="0"/>
        </w:rPr>
      </w:pPr>
      <w:r>
        <w:rPr>
          <w:b w:val="0"/>
        </w:rPr>
        <w:lastRenderedPageBreak/>
        <w:t xml:space="preserve">On </w:t>
      </w:r>
      <w:r w:rsidRPr="00A60863">
        <w:t>January 2, 201</w:t>
      </w:r>
      <w:r w:rsidR="00A60863" w:rsidRPr="00A60863">
        <w:t>3</w:t>
      </w:r>
      <w:r w:rsidR="00BD0D14">
        <w:t>,</w:t>
      </w:r>
      <w:r w:rsidR="000F654D">
        <w:rPr>
          <w:b w:val="0"/>
        </w:rPr>
        <w:t xml:space="preserve"> the Liberal government</w:t>
      </w:r>
      <w:r w:rsidR="00A60863">
        <w:rPr>
          <w:b w:val="0"/>
        </w:rPr>
        <w:t xml:space="preserve"> imposed collective agreements on all ETFO locals. The collective agreements included a partial freeze on salary grid movement, as well as the elimination of sick leave banks and retirement gratuities. </w:t>
      </w:r>
      <w:r w:rsidR="000F654D">
        <w:rPr>
          <w:b w:val="0"/>
        </w:rPr>
        <w:t>The Liberal government</w:t>
      </w:r>
      <w:r w:rsidR="00A60863" w:rsidRPr="00D14BC9">
        <w:rPr>
          <w:b w:val="0"/>
        </w:rPr>
        <w:t xml:space="preserve"> immediately repealed Bill 115 after imposing those collective agreements.</w:t>
      </w:r>
    </w:p>
    <w:p w:rsidR="0094076A" w:rsidRPr="00945345" w:rsidRDefault="00945345" w:rsidP="0094076A">
      <w:pPr>
        <w:rPr>
          <w:rFonts w:cs="Arial"/>
          <w:b/>
        </w:rPr>
      </w:pPr>
      <w:r w:rsidRPr="00945345">
        <w:rPr>
          <w:rFonts w:cs="Arial"/>
          <w:b/>
        </w:rPr>
        <w:t>The</w:t>
      </w:r>
      <w:r w:rsidR="0094076A" w:rsidRPr="00945345">
        <w:rPr>
          <w:rFonts w:cs="Arial"/>
          <w:b/>
        </w:rPr>
        <w:t xml:space="preserve"> 2014 Round of Collective Bargaining</w:t>
      </w:r>
      <w:r w:rsidR="00A2754B">
        <w:rPr>
          <w:rFonts w:cs="Arial"/>
          <w:b/>
        </w:rPr>
        <w:t xml:space="preserve"> and Negotiations on Grid Movement</w:t>
      </w:r>
    </w:p>
    <w:p w:rsidR="0094076A" w:rsidRPr="00341249" w:rsidRDefault="0094076A" w:rsidP="0094076A">
      <w:pPr>
        <w:rPr>
          <w:rFonts w:cs="Arial"/>
        </w:rPr>
      </w:pPr>
    </w:p>
    <w:p w:rsidR="00F84EFB" w:rsidRDefault="00F84EFB" w:rsidP="00F84EFB">
      <w:pPr>
        <w:pStyle w:val="ListParagraph"/>
        <w:numPr>
          <w:ilvl w:val="0"/>
          <w:numId w:val="23"/>
        </w:numPr>
        <w:spacing w:after="200" w:line="276" w:lineRule="auto"/>
        <w:contextualSpacing/>
        <w:rPr>
          <w:b w:val="0"/>
        </w:rPr>
      </w:pPr>
      <w:r>
        <w:rPr>
          <w:b w:val="0"/>
        </w:rPr>
        <w:t xml:space="preserve">On </w:t>
      </w:r>
      <w:r w:rsidRPr="00F84EFB">
        <w:t>March 27, 2014</w:t>
      </w:r>
      <w:r w:rsidR="00BD0D14">
        <w:t>,</w:t>
      </w:r>
      <w:r>
        <w:rPr>
          <w:b w:val="0"/>
        </w:rPr>
        <w:t xml:space="preserve"> ETFO and other education sector union</w:t>
      </w:r>
      <w:r w:rsidR="00BD0D14">
        <w:rPr>
          <w:b w:val="0"/>
        </w:rPr>
        <w:t>s were advised by the Liberal government</w:t>
      </w:r>
      <w:r>
        <w:rPr>
          <w:b w:val="0"/>
        </w:rPr>
        <w:t xml:space="preserve"> that </w:t>
      </w:r>
      <w:r w:rsidR="00A2754B">
        <w:rPr>
          <w:b w:val="0"/>
        </w:rPr>
        <w:t xml:space="preserve">salary </w:t>
      </w:r>
      <w:r>
        <w:rPr>
          <w:b w:val="0"/>
        </w:rPr>
        <w:t xml:space="preserve">grid movement delay imposed under Bill 115 would continue, despite the bill having been rescinded on January 2, 2013.  </w:t>
      </w:r>
      <w:r w:rsidR="00BD0D14">
        <w:rPr>
          <w:b w:val="0"/>
        </w:rPr>
        <w:t>Unions were advised that</w:t>
      </w:r>
      <w:r>
        <w:rPr>
          <w:b w:val="0"/>
        </w:rPr>
        <w:t xml:space="preserve"> grid delay would re</w:t>
      </w:r>
      <w:r w:rsidR="00BD0D14">
        <w:rPr>
          <w:b w:val="0"/>
        </w:rPr>
        <w:t>main in place</w:t>
      </w:r>
      <w:r>
        <w:rPr>
          <w:b w:val="0"/>
        </w:rPr>
        <w:t xml:space="preserve"> beyond August 31, 2014 until new collective agreements were negotiated.</w:t>
      </w:r>
      <w:r w:rsidR="003410C7">
        <w:rPr>
          <w:b w:val="0"/>
        </w:rPr>
        <w:t xml:space="preserve"> </w:t>
      </w:r>
    </w:p>
    <w:p w:rsidR="003410C7" w:rsidRDefault="003410C7" w:rsidP="00F84EFB">
      <w:pPr>
        <w:pStyle w:val="ListParagraph"/>
        <w:numPr>
          <w:ilvl w:val="0"/>
          <w:numId w:val="23"/>
        </w:numPr>
        <w:spacing w:after="200" w:line="276" w:lineRule="auto"/>
        <w:contextualSpacing/>
        <w:rPr>
          <w:b w:val="0"/>
        </w:rPr>
      </w:pPr>
      <w:r>
        <w:rPr>
          <w:b w:val="0"/>
        </w:rPr>
        <w:t xml:space="preserve">On </w:t>
      </w:r>
      <w:r w:rsidRPr="00B05A46">
        <w:t>April 8, 2014,</w:t>
      </w:r>
      <w:r>
        <w:rPr>
          <w:b w:val="0"/>
        </w:rPr>
        <w:t xml:space="preserve"> the </w:t>
      </w:r>
      <w:r w:rsidR="00C66A9F">
        <w:rPr>
          <w:b w:val="0"/>
        </w:rPr>
        <w:t>Liberal g</w:t>
      </w:r>
      <w:r>
        <w:rPr>
          <w:b w:val="0"/>
        </w:rPr>
        <w:t xml:space="preserve">overnment passed the </w:t>
      </w:r>
      <w:r w:rsidRPr="00EE19A4">
        <w:rPr>
          <w:b w:val="0"/>
          <w:i/>
        </w:rPr>
        <w:t>School Boards Collective Bargaining Act</w:t>
      </w:r>
      <w:r>
        <w:rPr>
          <w:b w:val="0"/>
        </w:rPr>
        <w:t>, also referred to as Bill 122. Bill 122 established a ne</w:t>
      </w:r>
      <w:r w:rsidR="00CA438F">
        <w:rPr>
          <w:b w:val="0"/>
        </w:rPr>
        <w:t>w, two-tier (i.e., central and</w:t>
      </w:r>
      <w:r>
        <w:rPr>
          <w:b w:val="0"/>
        </w:rPr>
        <w:t xml:space="preserve"> local) </w:t>
      </w:r>
      <w:r w:rsidR="00B05A46">
        <w:rPr>
          <w:b w:val="0"/>
        </w:rPr>
        <w:t xml:space="preserve">bargaining </w:t>
      </w:r>
      <w:r>
        <w:rPr>
          <w:b w:val="0"/>
        </w:rPr>
        <w:t>process for negotiating collective agreements in the education sector</w:t>
      </w:r>
      <w:r w:rsidR="00CA438F">
        <w:rPr>
          <w:b w:val="0"/>
        </w:rPr>
        <w:t>,</w:t>
      </w:r>
      <w:r>
        <w:rPr>
          <w:b w:val="0"/>
        </w:rPr>
        <w:t xml:space="preserve"> and it formalized the role of the Government in</w:t>
      </w:r>
      <w:r w:rsidR="00B05A46">
        <w:rPr>
          <w:b w:val="0"/>
        </w:rPr>
        <w:t xml:space="preserve"> that process</w:t>
      </w:r>
      <w:r>
        <w:rPr>
          <w:b w:val="0"/>
        </w:rPr>
        <w:t>.</w:t>
      </w:r>
    </w:p>
    <w:p w:rsidR="00342E2E" w:rsidRDefault="00342E2E" w:rsidP="00F84EFB">
      <w:pPr>
        <w:pStyle w:val="ListParagraph"/>
        <w:numPr>
          <w:ilvl w:val="0"/>
          <w:numId w:val="23"/>
        </w:numPr>
        <w:spacing w:after="200" w:line="276" w:lineRule="auto"/>
        <w:contextualSpacing/>
        <w:rPr>
          <w:b w:val="0"/>
        </w:rPr>
      </w:pPr>
      <w:r>
        <w:rPr>
          <w:b w:val="0"/>
        </w:rPr>
        <w:t xml:space="preserve">On </w:t>
      </w:r>
      <w:r w:rsidRPr="00342E2E">
        <w:t>September 1, 2014</w:t>
      </w:r>
      <w:r w:rsidR="00CA438F">
        <w:t>,</w:t>
      </w:r>
      <w:r>
        <w:rPr>
          <w:b w:val="0"/>
        </w:rPr>
        <w:t xml:space="preserve"> </w:t>
      </w:r>
      <w:r w:rsidR="00CA438F">
        <w:rPr>
          <w:b w:val="0"/>
        </w:rPr>
        <w:t>ETFO began</w:t>
      </w:r>
      <w:r>
        <w:rPr>
          <w:b w:val="0"/>
        </w:rPr>
        <w:t xml:space="preserve"> the 2014 round of collective bargaining with the o</w:t>
      </w:r>
      <w:r w:rsidR="00BA3E2E">
        <w:rPr>
          <w:b w:val="0"/>
        </w:rPr>
        <w:t xml:space="preserve">bjective of removing the </w:t>
      </w:r>
      <w:r>
        <w:rPr>
          <w:b w:val="0"/>
        </w:rPr>
        <w:t>delay in salary grid movement as of September 1, 2014.</w:t>
      </w:r>
    </w:p>
    <w:p w:rsidR="00EE19A4" w:rsidRDefault="00A2754B" w:rsidP="00F84EFB">
      <w:pPr>
        <w:pStyle w:val="ListParagraph"/>
        <w:numPr>
          <w:ilvl w:val="0"/>
          <w:numId w:val="23"/>
        </w:numPr>
        <w:spacing w:after="200" w:line="276" w:lineRule="auto"/>
        <w:contextualSpacing/>
        <w:rPr>
          <w:b w:val="0"/>
        </w:rPr>
      </w:pPr>
      <w:r>
        <w:rPr>
          <w:b w:val="0"/>
        </w:rPr>
        <w:t>From the outset of the 2014 round of bargaining</w:t>
      </w:r>
      <w:r w:rsidR="00127417">
        <w:rPr>
          <w:b w:val="0"/>
        </w:rPr>
        <w:t>, the g</w:t>
      </w:r>
      <w:r w:rsidR="00EE19A4">
        <w:rPr>
          <w:b w:val="0"/>
        </w:rPr>
        <w:t xml:space="preserve">overnment and the </w:t>
      </w:r>
      <w:r w:rsidR="00EE19A4" w:rsidRPr="005B6D5D">
        <w:rPr>
          <w:b w:val="0"/>
        </w:rPr>
        <w:t>Ontario Public School Boards</w:t>
      </w:r>
      <w:r w:rsidR="005B6D5D" w:rsidRPr="005B6D5D">
        <w:rPr>
          <w:b w:val="0"/>
        </w:rPr>
        <w:t>’</w:t>
      </w:r>
      <w:r w:rsidR="00EE19A4" w:rsidRPr="005B6D5D">
        <w:rPr>
          <w:b w:val="0"/>
        </w:rPr>
        <w:t xml:space="preserve"> Association</w:t>
      </w:r>
      <w:r>
        <w:rPr>
          <w:b w:val="0"/>
        </w:rPr>
        <w:t xml:space="preserve"> </w:t>
      </w:r>
      <w:r w:rsidR="00EE19A4">
        <w:rPr>
          <w:b w:val="0"/>
        </w:rPr>
        <w:t>emphasized to ETFO negotiators that the financial provisions to be paid</w:t>
      </w:r>
      <w:r w:rsidR="0082646E">
        <w:rPr>
          <w:b w:val="0"/>
        </w:rPr>
        <w:t xml:space="preserve"> to all of Ontario’s teacher unions would be substantially identical. </w:t>
      </w:r>
    </w:p>
    <w:p w:rsidR="00EE19A4" w:rsidRPr="00EE19A4" w:rsidRDefault="00342E2E" w:rsidP="00EE19A4">
      <w:pPr>
        <w:pStyle w:val="ListParagraph"/>
        <w:numPr>
          <w:ilvl w:val="0"/>
          <w:numId w:val="23"/>
        </w:numPr>
        <w:spacing w:after="200" w:line="276" w:lineRule="auto"/>
        <w:contextualSpacing/>
        <w:rPr>
          <w:b w:val="0"/>
        </w:rPr>
      </w:pPr>
      <w:r>
        <w:rPr>
          <w:b w:val="0"/>
        </w:rPr>
        <w:t xml:space="preserve">In the </w:t>
      </w:r>
      <w:r w:rsidRPr="00B05A46">
        <w:t>fall of 2014</w:t>
      </w:r>
      <w:r>
        <w:rPr>
          <w:b w:val="0"/>
        </w:rPr>
        <w:t xml:space="preserve"> every ETFO local filed grievances disputing that the restriction on salary grid movement for 97 days c</w:t>
      </w:r>
      <w:r w:rsidR="00A2754B">
        <w:rPr>
          <w:b w:val="0"/>
        </w:rPr>
        <w:t>ould be applied outside the two-</w:t>
      </w:r>
      <w:r>
        <w:rPr>
          <w:b w:val="0"/>
        </w:rPr>
        <w:t>year period of the collective agreement into the 2014-2015 school year.</w:t>
      </w:r>
    </w:p>
    <w:p w:rsidR="00342E2E" w:rsidRDefault="0039088E" w:rsidP="00F84EFB">
      <w:pPr>
        <w:pStyle w:val="ListParagraph"/>
        <w:numPr>
          <w:ilvl w:val="0"/>
          <w:numId w:val="23"/>
        </w:numPr>
        <w:spacing w:after="200" w:line="276" w:lineRule="auto"/>
        <w:contextualSpacing/>
        <w:rPr>
          <w:b w:val="0"/>
        </w:rPr>
      </w:pPr>
      <w:r>
        <w:rPr>
          <w:b w:val="0"/>
        </w:rPr>
        <w:t xml:space="preserve">In </w:t>
      </w:r>
      <w:r w:rsidRPr="00EE19A4">
        <w:t>May 2015</w:t>
      </w:r>
      <w:r>
        <w:rPr>
          <w:b w:val="0"/>
        </w:rPr>
        <w:t xml:space="preserve"> a </w:t>
      </w:r>
      <w:r w:rsidR="00342E2E">
        <w:rPr>
          <w:b w:val="0"/>
        </w:rPr>
        <w:t>local grievance filed by AEFO about the issue of grid movement delay during the 2014-2</w:t>
      </w:r>
      <w:r>
        <w:rPr>
          <w:b w:val="0"/>
        </w:rPr>
        <w:t xml:space="preserve">015 school year </w:t>
      </w:r>
      <w:r w:rsidR="00342E2E">
        <w:rPr>
          <w:b w:val="0"/>
        </w:rPr>
        <w:t xml:space="preserve">was dismissed by Arbitrator </w:t>
      </w:r>
      <w:r>
        <w:rPr>
          <w:b w:val="0"/>
        </w:rPr>
        <w:t>Carolyn Rowan</w:t>
      </w:r>
      <w:r w:rsidR="00342E2E">
        <w:rPr>
          <w:b w:val="0"/>
        </w:rPr>
        <w:t>.</w:t>
      </w:r>
    </w:p>
    <w:p w:rsidR="0039088E" w:rsidRDefault="00342E2E" w:rsidP="0039088E">
      <w:pPr>
        <w:pStyle w:val="ListParagraph"/>
        <w:numPr>
          <w:ilvl w:val="0"/>
          <w:numId w:val="23"/>
        </w:numPr>
        <w:spacing w:after="200" w:line="276" w:lineRule="auto"/>
        <w:contextualSpacing/>
        <w:rPr>
          <w:b w:val="0"/>
        </w:rPr>
      </w:pPr>
      <w:r>
        <w:rPr>
          <w:b w:val="0"/>
        </w:rPr>
        <w:t xml:space="preserve">On </w:t>
      </w:r>
      <w:r w:rsidRPr="00EE19A4">
        <w:t>August 25, 2015</w:t>
      </w:r>
      <w:r w:rsidR="005B6D5D">
        <w:t>,</w:t>
      </w:r>
      <w:r>
        <w:rPr>
          <w:b w:val="0"/>
        </w:rPr>
        <w:t xml:space="preserve"> OECTA reached a central agreement with the Ontario Catholic School Trustees’ Associa</w:t>
      </w:r>
      <w:r w:rsidR="005B6D5D">
        <w:rPr>
          <w:b w:val="0"/>
        </w:rPr>
        <w:t xml:space="preserve">tion </w:t>
      </w:r>
      <w:r>
        <w:rPr>
          <w:b w:val="0"/>
        </w:rPr>
        <w:t>that included a provision regarding salary grid move</w:t>
      </w:r>
      <w:r w:rsidR="0039088E">
        <w:rPr>
          <w:b w:val="0"/>
        </w:rPr>
        <w:t>ment. The provision appears to be an agreement that the delay in salary grid movement would end after September 1, 2015.</w:t>
      </w:r>
    </w:p>
    <w:p w:rsidR="00342E2E" w:rsidRDefault="00EE19A4" w:rsidP="0039088E">
      <w:pPr>
        <w:pStyle w:val="ListParagraph"/>
        <w:numPr>
          <w:ilvl w:val="0"/>
          <w:numId w:val="23"/>
        </w:numPr>
        <w:spacing w:after="200" w:line="276" w:lineRule="auto"/>
        <w:contextualSpacing/>
        <w:rPr>
          <w:b w:val="0"/>
        </w:rPr>
      </w:pPr>
      <w:r w:rsidRPr="00EE19A4">
        <w:t>Between August and November 2015</w:t>
      </w:r>
      <w:r>
        <w:rPr>
          <w:b w:val="0"/>
        </w:rPr>
        <w:t xml:space="preserve"> </w:t>
      </w:r>
      <w:r w:rsidRPr="00EE19A4">
        <w:rPr>
          <w:b w:val="0"/>
        </w:rPr>
        <w:t>OSSTF, AEFO and ETFO</w:t>
      </w:r>
      <w:r>
        <w:rPr>
          <w:b w:val="0"/>
        </w:rPr>
        <w:t xml:space="preserve"> reached central</w:t>
      </w:r>
      <w:r w:rsidR="005B6D5D">
        <w:rPr>
          <w:b w:val="0"/>
        </w:rPr>
        <w:t xml:space="preserve"> agreements </w:t>
      </w:r>
      <w:r w:rsidR="0082646E">
        <w:rPr>
          <w:b w:val="0"/>
        </w:rPr>
        <w:t>that included substantially</w:t>
      </w:r>
      <w:r w:rsidR="00D14BC9">
        <w:rPr>
          <w:b w:val="0"/>
        </w:rPr>
        <w:t xml:space="preserve"> identical financial provisio</w:t>
      </w:r>
      <w:r w:rsidR="005B6D5D">
        <w:rPr>
          <w:b w:val="0"/>
        </w:rPr>
        <w:t xml:space="preserve">ns to the agreement reached between the Liberal government and </w:t>
      </w:r>
      <w:r w:rsidR="00D14BC9">
        <w:rPr>
          <w:b w:val="0"/>
        </w:rPr>
        <w:t xml:space="preserve"> OECTA.</w:t>
      </w:r>
    </w:p>
    <w:p w:rsidR="00A2754B" w:rsidRDefault="00A2754B" w:rsidP="0039088E">
      <w:pPr>
        <w:pStyle w:val="ListParagraph"/>
        <w:numPr>
          <w:ilvl w:val="0"/>
          <w:numId w:val="23"/>
        </w:numPr>
        <w:spacing w:after="200" w:line="276" w:lineRule="auto"/>
        <w:contextualSpacing/>
        <w:rPr>
          <w:b w:val="0"/>
        </w:rPr>
      </w:pPr>
      <w:r>
        <w:rPr>
          <w:b w:val="0"/>
        </w:rPr>
        <w:t xml:space="preserve">In </w:t>
      </w:r>
      <w:r w:rsidRPr="00042F90">
        <w:t>November 2015</w:t>
      </w:r>
      <w:r w:rsidR="00042F90">
        <w:rPr>
          <w:b w:val="0"/>
        </w:rPr>
        <w:t xml:space="preserve"> ETFO entered into a tentative agreement</w:t>
      </w:r>
      <w:r w:rsidR="00C66A9F">
        <w:rPr>
          <w:b w:val="0"/>
        </w:rPr>
        <w:t xml:space="preserve"> with the g</w:t>
      </w:r>
      <w:r w:rsidR="00042F90">
        <w:rPr>
          <w:b w:val="0"/>
        </w:rPr>
        <w:t>overnment and OPSBA. ETFO agreed in</w:t>
      </w:r>
      <w:r>
        <w:rPr>
          <w:b w:val="0"/>
        </w:rPr>
        <w:t xml:space="preserve"> good faith that it would settle its grievan</w:t>
      </w:r>
      <w:r w:rsidR="00731BA9">
        <w:rPr>
          <w:b w:val="0"/>
        </w:rPr>
        <w:t>ces regarding</w:t>
      </w:r>
      <w:r>
        <w:rPr>
          <w:b w:val="0"/>
        </w:rPr>
        <w:t xml:space="preserve"> 2014-2015 grid movement delay on the understanding that </w:t>
      </w:r>
      <w:r w:rsidR="00731BA9">
        <w:rPr>
          <w:b w:val="0"/>
        </w:rPr>
        <w:t>this would be</w:t>
      </w:r>
      <w:r w:rsidR="00042F90">
        <w:rPr>
          <w:b w:val="0"/>
        </w:rPr>
        <w:t xml:space="preserve"> the basis for restoring grid movement as of September 1, 2015 for all four of Ontario’s teacher unions</w:t>
      </w:r>
      <w:r w:rsidR="00725480">
        <w:rPr>
          <w:b w:val="0"/>
        </w:rPr>
        <w:t xml:space="preserve"> (</w:t>
      </w:r>
      <w:r w:rsidR="00731BA9">
        <w:rPr>
          <w:b w:val="0"/>
        </w:rPr>
        <w:t xml:space="preserve">i.e., </w:t>
      </w:r>
      <w:r w:rsidR="00725480">
        <w:rPr>
          <w:b w:val="0"/>
        </w:rPr>
        <w:t>ETFO, OSSTF, AEFO, OECTA)</w:t>
      </w:r>
      <w:r w:rsidR="00042F90">
        <w:rPr>
          <w:b w:val="0"/>
        </w:rPr>
        <w:t>.</w:t>
      </w:r>
      <w:r w:rsidR="00725480">
        <w:rPr>
          <w:b w:val="0"/>
        </w:rPr>
        <w:t xml:space="preserve"> ETFO’s</w:t>
      </w:r>
      <w:r w:rsidR="00042F90">
        <w:rPr>
          <w:b w:val="0"/>
        </w:rPr>
        <w:t xml:space="preserve"> </w:t>
      </w:r>
      <w:r w:rsidR="00042F90">
        <w:rPr>
          <w:b w:val="0"/>
        </w:rPr>
        <w:lastRenderedPageBreak/>
        <w:t>settlem</w:t>
      </w:r>
      <w:r w:rsidR="00725480">
        <w:rPr>
          <w:b w:val="0"/>
        </w:rPr>
        <w:t xml:space="preserve">ent also included language confirming </w:t>
      </w:r>
      <w:r w:rsidR="00042F90">
        <w:rPr>
          <w:b w:val="0"/>
        </w:rPr>
        <w:t>th</w:t>
      </w:r>
      <w:r w:rsidR="00725480">
        <w:rPr>
          <w:b w:val="0"/>
        </w:rPr>
        <w:t>at the contents of the settlement</w:t>
      </w:r>
      <w:r w:rsidR="00042F90">
        <w:rPr>
          <w:b w:val="0"/>
        </w:rPr>
        <w:t xml:space="preserve"> were without prejudice to ETFO’s </w:t>
      </w:r>
      <w:r w:rsidR="00042F90" w:rsidRPr="00042F90">
        <w:rPr>
          <w:b w:val="0"/>
          <w:i/>
        </w:rPr>
        <w:t>Charter</w:t>
      </w:r>
      <w:r w:rsidR="00042F90">
        <w:rPr>
          <w:b w:val="0"/>
        </w:rPr>
        <w:t xml:space="preserve"> challenge.</w:t>
      </w:r>
    </w:p>
    <w:p w:rsidR="00042F90" w:rsidRPr="00A60863" w:rsidRDefault="00042F90" w:rsidP="00042F90">
      <w:pPr>
        <w:rPr>
          <w:rFonts w:cs="Arial"/>
          <w:b/>
        </w:rPr>
      </w:pPr>
      <w:r w:rsidRPr="00A60863">
        <w:rPr>
          <w:rFonts w:cs="Arial"/>
          <w:b/>
        </w:rPr>
        <w:t xml:space="preserve">The </w:t>
      </w:r>
      <w:r w:rsidRPr="00581756">
        <w:rPr>
          <w:rFonts w:cs="Arial"/>
          <w:b/>
          <w:i/>
        </w:rPr>
        <w:t>Charter</w:t>
      </w:r>
      <w:r w:rsidRPr="00A60863">
        <w:rPr>
          <w:rFonts w:cs="Arial"/>
          <w:b/>
        </w:rPr>
        <w:t xml:space="preserve"> Challenge</w:t>
      </w:r>
      <w:r>
        <w:rPr>
          <w:rFonts w:cs="Arial"/>
          <w:b/>
        </w:rPr>
        <w:t xml:space="preserve"> and Issue of Remedy for ETFO Members</w:t>
      </w:r>
    </w:p>
    <w:p w:rsidR="00042F90" w:rsidRPr="00341249" w:rsidRDefault="00042F90" w:rsidP="00042F90">
      <w:pPr>
        <w:rPr>
          <w:rFonts w:cs="Arial"/>
        </w:rPr>
      </w:pPr>
    </w:p>
    <w:p w:rsidR="00042F90" w:rsidRDefault="00042F90" w:rsidP="00042F90">
      <w:pPr>
        <w:pStyle w:val="ListParagraph"/>
        <w:numPr>
          <w:ilvl w:val="0"/>
          <w:numId w:val="26"/>
        </w:numPr>
        <w:rPr>
          <w:b w:val="0"/>
        </w:rPr>
      </w:pPr>
      <w:r w:rsidRPr="00341249">
        <w:rPr>
          <w:b w:val="0"/>
        </w:rPr>
        <w:t xml:space="preserve">In </w:t>
      </w:r>
      <w:r w:rsidRPr="00C0425B">
        <w:t>October 2012</w:t>
      </w:r>
      <w:r w:rsidR="008E62FF">
        <w:rPr>
          <w:b w:val="0"/>
        </w:rPr>
        <w:t xml:space="preserve"> ETFO</w:t>
      </w:r>
      <w:r w:rsidRPr="00341249">
        <w:rPr>
          <w:b w:val="0"/>
        </w:rPr>
        <w:t xml:space="preserve"> along wit</w:t>
      </w:r>
      <w:r w:rsidR="008E62FF">
        <w:rPr>
          <w:b w:val="0"/>
        </w:rPr>
        <w:t>h OSSTF, CUPE, OPSEU and Unifor</w:t>
      </w:r>
      <w:r w:rsidRPr="00341249">
        <w:rPr>
          <w:b w:val="0"/>
        </w:rPr>
        <w:t xml:space="preserve"> began court proceedings a</w:t>
      </w:r>
      <w:r w:rsidR="008E62FF">
        <w:rPr>
          <w:b w:val="0"/>
        </w:rPr>
        <w:t>gainst the Liberal government</w:t>
      </w:r>
      <w:r w:rsidRPr="00341249">
        <w:rPr>
          <w:b w:val="0"/>
        </w:rPr>
        <w:t xml:space="preserve"> on the basis that Bill 115 violated the </w:t>
      </w:r>
      <w:r w:rsidR="008E62FF">
        <w:rPr>
          <w:b w:val="0"/>
        </w:rPr>
        <w:t xml:space="preserve">Canada’s </w:t>
      </w:r>
      <w:r w:rsidRPr="008E62FF">
        <w:rPr>
          <w:b w:val="0"/>
          <w:i/>
        </w:rPr>
        <w:t>Charter of Rights and Freedoms</w:t>
      </w:r>
      <w:r w:rsidR="008E62FF">
        <w:rPr>
          <w:b w:val="0"/>
        </w:rPr>
        <w:t xml:space="preserve"> in that it stripped the education sector of its right to bargain collectively during the 2012 round of negotiations.</w:t>
      </w:r>
    </w:p>
    <w:p w:rsidR="00CA3994" w:rsidRDefault="00CA3994" w:rsidP="00042F90">
      <w:pPr>
        <w:pStyle w:val="ListParagraph"/>
        <w:numPr>
          <w:ilvl w:val="0"/>
          <w:numId w:val="26"/>
        </w:numPr>
        <w:rPr>
          <w:b w:val="0"/>
        </w:rPr>
      </w:pPr>
      <w:r>
        <w:rPr>
          <w:b w:val="0"/>
        </w:rPr>
        <w:t xml:space="preserve">In </w:t>
      </w:r>
      <w:r w:rsidRPr="006D5869">
        <w:t>December 2015</w:t>
      </w:r>
      <w:r>
        <w:rPr>
          <w:b w:val="0"/>
        </w:rPr>
        <w:t xml:space="preserve"> ETFO and</w:t>
      </w:r>
      <w:r w:rsidR="008E62FF">
        <w:rPr>
          <w:b w:val="0"/>
        </w:rPr>
        <w:t xml:space="preserve"> the four other unions presented</w:t>
      </w:r>
      <w:r>
        <w:rPr>
          <w:b w:val="0"/>
        </w:rPr>
        <w:t xml:space="preserve"> the</w:t>
      </w:r>
      <w:r w:rsidR="008E62FF">
        <w:rPr>
          <w:b w:val="0"/>
        </w:rPr>
        <w:t xml:space="preserve">ir </w:t>
      </w:r>
      <w:r w:rsidR="008E62FF" w:rsidRPr="008E62FF">
        <w:rPr>
          <w:b w:val="0"/>
          <w:i/>
        </w:rPr>
        <w:t>Charter</w:t>
      </w:r>
      <w:r w:rsidRPr="008E62FF">
        <w:rPr>
          <w:b w:val="0"/>
          <w:i/>
        </w:rPr>
        <w:t xml:space="preserve"> </w:t>
      </w:r>
      <w:r>
        <w:rPr>
          <w:b w:val="0"/>
        </w:rPr>
        <w:t>case at the Ontario Superior Court of Justice</w:t>
      </w:r>
      <w:r w:rsidR="006D5869">
        <w:rPr>
          <w:b w:val="0"/>
        </w:rPr>
        <w:t xml:space="preserve"> before Justice Thomas Lederer</w:t>
      </w:r>
      <w:r>
        <w:rPr>
          <w:b w:val="0"/>
        </w:rPr>
        <w:t>.</w:t>
      </w:r>
    </w:p>
    <w:p w:rsidR="00042F90" w:rsidRPr="008722D9" w:rsidRDefault="00EC6DB6" w:rsidP="008722D9">
      <w:pPr>
        <w:pStyle w:val="ListParagraph"/>
        <w:numPr>
          <w:ilvl w:val="0"/>
          <w:numId w:val="26"/>
        </w:numPr>
        <w:rPr>
          <w:b w:val="0"/>
        </w:rPr>
      </w:pPr>
      <w:r>
        <w:rPr>
          <w:b w:val="0"/>
        </w:rPr>
        <w:t xml:space="preserve">On </w:t>
      </w:r>
      <w:r w:rsidRPr="00EC6DB6">
        <w:t>April 20, 2016</w:t>
      </w:r>
      <w:r w:rsidR="008E62FF">
        <w:t>,</w:t>
      </w:r>
      <w:r>
        <w:rPr>
          <w:b w:val="0"/>
        </w:rPr>
        <w:t xml:space="preserve"> </w:t>
      </w:r>
      <w:r w:rsidR="00042F90">
        <w:rPr>
          <w:b w:val="0"/>
        </w:rPr>
        <w:t>Justice Lederer released his decision</w:t>
      </w:r>
      <w:r w:rsidR="006D5869">
        <w:rPr>
          <w:b w:val="0"/>
        </w:rPr>
        <w:t>, which was in the</w:t>
      </w:r>
      <w:r w:rsidR="00CA3994">
        <w:rPr>
          <w:b w:val="0"/>
        </w:rPr>
        <w:t xml:space="preserve"> unions’ favour. The decision confirmed that Bill 115 was “fundamentally flawed” and infringed on ETFO’s right to meaningful collective bargaining</w:t>
      </w:r>
      <w:r w:rsidR="00CA3994" w:rsidRPr="008722D9">
        <w:rPr>
          <w:b w:val="0"/>
        </w:rPr>
        <w:t>.</w:t>
      </w:r>
      <w:r w:rsidR="008722D9" w:rsidRPr="008722D9">
        <w:rPr>
          <w:b w:val="0"/>
        </w:rPr>
        <w:t xml:space="preserve"> </w:t>
      </w:r>
      <w:r w:rsidR="00D14BC9" w:rsidRPr="008722D9">
        <w:rPr>
          <w:b w:val="0"/>
        </w:rPr>
        <w:t>Justice Lederer referred the issue of a remedy</w:t>
      </w:r>
      <w:r w:rsidR="006D5869" w:rsidRPr="008722D9">
        <w:rPr>
          <w:b w:val="0"/>
        </w:rPr>
        <w:t xml:space="preserve"> </w:t>
      </w:r>
      <w:r w:rsidR="008E62FF">
        <w:rPr>
          <w:b w:val="0"/>
        </w:rPr>
        <w:t>back to ETFO and the Liberal government</w:t>
      </w:r>
      <w:r w:rsidR="00D14BC9" w:rsidRPr="008722D9">
        <w:rPr>
          <w:b w:val="0"/>
        </w:rPr>
        <w:t xml:space="preserve"> to attempt to resolve. </w:t>
      </w:r>
    </w:p>
    <w:p w:rsidR="00D14BC9" w:rsidRDefault="00D14BC9" w:rsidP="00042F90">
      <w:pPr>
        <w:pStyle w:val="ListParagraph"/>
        <w:numPr>
          <w:ilvl w:val="0"/>
          <w:numId w:val="26"/>
        </w:numPr>
        <w:rPr>
          <w:b w:val="0"/>
        </w:rPr>
      </w:pPr>
      <w:r>
        <w:rPr>
          <w:b w:val="0"/>
        </w:rPr>
        <w:t>Remedy discussions between ETFO and the</w:t>
      </w:r>
      <w:r w:rsidR="008E62FF">
        <w:rPr>
          <w:b w:val="0"/>
        </w:rPr>
        <w:t xml:space="preserve"> Liberal</w:t>
      </w:r>
      <w:r>
        <w:rPr>
          <w:b w:val="0"/>
        </w:rPr>
        <w:t xml:space="preserve"> government took plac</w:t>
      </w:r>
      <w:r w:rsidR="00EC6DB6">
        <w:rPr>
          <w:b w:val="0"/>
        </w:rPr>
        <w:t>e on many occasions since September 2016. ETFO representatives reiterated to the government what a fair Bill 115 remedy needed to include. The government continued to offer inferior settlements and repeatedly told ETFO that it had no more money available to compensate ETFO members for the significant losses they incurred under Bill 115.</w:t>
      </w:r>
    </w:p>
    <w:p w:rsidR="00D14BC9" w:rsidRDefault="00D14BC9" w:rsidP="00042F90">
      <w:pPr>
        <w:pStyle w:val="ListParagraph"/>
        <w:numPr>
          <w:ilvl w:val="0"/>
          <w:numId w:val="26"/>
        </w:numPr>
        <w:rPr>
          <w:b w:val="0"/>
        </w:rPr>
      </w:pPr>
      <w:r>
        <w:rPr>
          <w:b w:val="0"/>
        </w:rPr>
        <w:t xml:space="preserve">On </w:t>
      </w:r>
      <w:r w:rsidRPr="008722D9">
        <w:t>March 8, 2018</w:t>
      </w:r>
      <w:r>
        <w:rPr>
          <w:b w:val="0"/>
        </w:rPr>
        <w:t>, ETFO was informed that the</w:t>
      </w:r>
      <w:r w:rsidR="008E62FF">
        <w:rPr>
          <w:b w:val="0"/>
        </w:rPr>
        <w:t xml:space="preserve"> Liberal</w:t>
      </w:r>
      <w:r>
        <w:rPr>
          <w:b w:val="0"/>
        </w:rPr>
        <w:t xml:space="preserve"> government had agreed to pay an unspecif</w:t>
      </w:r>
      <w:r w:rsidR="006D5869">
        <w:rPr>
          <w:b w:val="0"/>
        </w:rPr>
        <w:t>ied amount of money to OECTA</w:t>
      </w:r>
      <w:r w:rsidR="00F71523">
        <w:rPr>
          <w:b w:val="0"/>
        </w:rPr>
        <w:t xml:space="preserve"> (later reported to be $31 million)</w:t>
      </w:r>
      <w:r w:rsidR="006D5869">
        <w:rPr>
          <w:b w:val="0"/>
        </w:rPr>
        <w:t>. ETFO</w:t>
      </w:r>
      <w:r>
        <w:rPr>
          <w:b w:val="0"/>
        </w:rPr>
        <w:t xml:space="preserve"> subsequently learned that the government had been in similar discussions with AEFO and was about to reach agreements</w:t>
      </w:r>
      <w:r w:rsidR="00F71523">
        <w:rPr>
          <w:b w:val="0"/>
        </w:rPr>
        <w:t xml:space="preserve"> for significant financial payouts</w:t>
      </w:r>
      <w:r>
        <w:rPr>
          <w:b w:val="0"/>
        </w:rPr>
        <w:t xml:space="preserve"> with those unions.</w:t>
      </w:r>
    </w:p>
    <w:p w:rsidR="00D14BC9" w:rsidRDefault="00D14BC9" w:rsidP="00042F90">
      <w:pPr>
        <w:pStyle w:val="ListParagraph"/>
        <w:numPr>
          <w:ilvl w:val="0"/>
          <w:numId w:val="26"/>
        </w:numPr>
        <w:rPr>
          <w:b w:val="0"/>
        </w:rPr>
      </w:pPr>
      <w:r>
        <w:rPr>
          <w:b w:val="0"/>
        </w:rPr>
        <w:t xml:space="preserve">On </w:t>
      </w:r>
      <w:r w:rsidRPr="008722D9">
        <w:t>March 10, 2018</w:t>
      </w:r>
      <w:r w:rsidR="00EC6DB6">
        <w:rPr>
          <w:b w:val="0"/>
        </w:rPr>
        <w:t xml:space="preserve">, ETFO advised its members that it had learned the </w:t>
      </w:r>
      <w:r w:rsidR="008E62FF">
        <w:rPr>
          <w:b w:val="0"/>
        </w:rPr>
        <w:t xml:space="preserve">Liberal </w:t>
      </w:r>
      <w:r w:rsidR="00EC6DB6">
        <w:rPr>
          <w:b w:val="0"/>
        </w:rPr>
        <w:t>government was involved in secret talks with unions and other groups</w:t>
      </w:r>
      <w:r w:rsidR="008E62FF">
        <w:rPr>
          <w:b w:val="0"/>
        </w:rPr>
        <w:t>,</w:t>
      </w:r>
      <w:r w:rsidR="00EC6DB6">
        <w:rPr>
          <w:b w:val="0"/>
        </w:rPr>
        <w:t xml:space="preserve"> and</w:t>
      </w:r>
      <w:r w:rsidR="008E62FF">
        <w:rPr>
          <w:b w:val="0"/>
        </w:rPr>
        <w:t xml:space="preserve"> that it</w:t>
      </w:r>
      <w:r w:rsidR="00EC6DB6">
        <w:rPr>
          <w:b w:val="0"/>
        </w:rPr>
        <w:t xml:space="preserve"> had negotiated significant financial payouts for them connected to Bill 115.</w:t>
      </w:r>
    </w:p>
    <w:p w:rsidR="008722D9" w:rsidRDefault="00EC6DB6" w:rsidP="008722D9">
      <w:pPr>
        <w:pStyle w:val="ListParagraph"/>
        <w:numPr>
          <w:ilvl w:val="0"/>
          <w:numId w:val="26"/>
        </w:numPr>
        <w:rPr>
          <w:b w:val="0"/>
        </w:rPr>
      </w:pPr>
      <w:r>
        <w:rPr>
          <w:b w:val="0"/>
        </w:rPr>
        <w:t xml:space="preserve">In </w:t>
      </w:r>
      <w:r w:rsidRPr="00EC6DB6">
        <w:t>March and April 2018</w:t>
      </w:r>
      <w:r>
        <w:rPr>
          <w:b w:val="0"/>
        </w:rPr>
        <w:t xml:space="preserve"> </w:t>
      </w:r>
      <w:r w:rsidR="008722D9">
        <w:rPr>
          <w:b w:val="0"/>
        </w:rPr>
        <w:t xml:space="preserve">ETFO attempted to obtain more information </w:t>
      </w:r>
      <w:r w:rsidR="00EA11FE">
        <w:rPr>
          <w:b w:val="0"/>
        </w:rPr>
        <w:t xml:space="preserve">about the nature of </w:t>
      </w:r>
      <w:r w:rsidR="008722D9">
        <w:rPr>
          <w:b w:val="0"/>
        </w:rPr>
        <w:t>payments</w:t>
      </w:r>
      <w:r w:rsidR="00EA11FE">
        <w:rPr>
          <w:b w:val="0"/>
        </w:rPr>
        <w:t xml:space="preserve"> to OECTA</w:t>
      </w:r>
      <w:r w:rsidR="008722D9">
        <w:rPr>
          <w:b w:val="0"/>
        </w:rPr>
        <w:t xml:space="preserve"> but clear information was not forthcoming from either the government or OECTA. OECTA claimed that th</w:t>
      </w:r>
      <w:r w:rsidR="00581756">
        <w:rPr>
          <w:b w:val="0"/>
        </w:rPr>
        <w:t>e Liberal government</w:t>
      </w:r>
      <w:r w:rsidR="008722D9">
        <w:rPr>
          <w:b w:val="0"/>
        </w:rPr>
        <w:t>’s payment was related to a local arbitration award</w:t>
      </w:r>
      <w:r w:rsidR="00581756">
        <w:rPr>
          <w:b w:val="0"/>
        </w:rPr>
        <w:t>, while the g</w:t>
      </w:r>
      <w:r w:rsidR="008722D9">
        <w:rPr>
          <w:b w:val="0"/>
        </w:rPr>
        <w:t xml:space="preserve">overnment advised that the money was payment to both OECTA and AEFO (and perhaps others) in exchange for those unions agreeing that they would not pursue Bill 115 </w:t>
      </w:r>
      <w:r w:rsidR="008722D9" w:rsidRPr="006D5869">
        <w:rPr>
          <w:b w:val="0"/>
          <w:i/>
        </w:rPr>
        <w:t>Charter</w:t>
      </w:r>
      <w:r w:rsidR="008722D9">
        <w:rPr>
          <w:b w:val="0"/>
        </w:rPr>
        <w:t xml:space="preserve"> challenges.</w:t>
      </w:r>
    </w:p>
    <w:p w:rsidR="008722D9" w:rsidRPr="008722D9" w:rsidRDefault="008722D9" w:rsidP="008722D9">
      <w:pPr>
        <w:ind w:left="360"/>
      </w:pPr>
    </w:p>
    <w:p w:rsidR="00D14BC9" w:rsidRPr="00725480" w:rsidRDefault="00D14BC9" w:rsidP="00725480"/>
    <w:p w:rsidR="00341249" w:rsidRDefault="00341249" w:rsidP="0094076A">
      <w:pPr>
        <w:rPr>
          <w:rFonts w:cs="Arial"/>
        </w:rPr>
      </w:pPr>
    </w:p>
    <w:p w:rsidR="0011214F" w:rsidRPr="00341249" w:rsidRDefault="0011214F" w:rsidP="0094076A">
      <w:pPr>
        <w:rPr>
          <w:rFonts w:cs="Arial"/>
        </w:rPr>
      </w:pPr>
    </w:p>
    <w:p w:rsidR="00CA29D6" w:rsidRPr="00341249" w:rsidRDefault="00CA29D6" w:rsidP="00E83A6D">
      <w:pPr>
        <w:widowControl/>
        <w:rPr>
          <w:rFonts w:cs="Arial"/>
          <w:szCs w:val="24"/>
          <w:lang w:val="en-GB"/>
        </w:rPr>
      </w:pPr>
    </w:p>
    <w:p w:rsidR="00606173" w:rsidRPr="00341249" w:rsidRDefault="00887419" w:rsidP="004873E6">
      <w:pPr>
        <w:widowControl/>
        <w:tabs>
          <w:tab w:val="left" w:pos="6351"/>
        </w:tabs>
        <w:rPr>
          <w:sz w:val="20"/>
        </w:rPr>
      </w:pPr>
      <w:r w:rsidRPr="00341249">
        <w:rPr>
          <w:sz w:val="20"/>
        </w:rPr>
        <w:t>SO:LM:</w:t>
      </w:r>
      <w:r w:rsidR="00D92AE7" w:rsidRPr="00341249">
        <w:rPr>
          <w:sz w:val="20"/>
        </w:rPr>
        <w:t>AA</w:t>
      </w:r>
    </w:p>
    <w:sectPr w:rsidR="00606173" w:rsidRPr="00341249" w:rsidSect="0077009D">
      <w:footerReference w:type="default" r:id="rId10"/>
      <w:footerReference w:type="first" r:id="rId11"/>
      <w:endnotePr>
        <w:numFmt w:val="decimal"/>
      </w:endnotePr>
      <w:pgSz w:w="12240" w:h="15840"/>
      <w:pgMar w:top="1134" w:right="1440" w:bottom="72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247" w:rsidRDefault="00452247">
      <w:r>
        <w:separator/>
      </w:r>
    </w:p>
  </w:endnote>
  <w:endnote w:type="continuationSeparator" w:id="0">
    <w:p w:rsidR="00452247" w:rsidRDefault="0045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876600"/>
      <w:docPartObj>
        <w:docPartGallery w:val="Page Numbers (Bottom of Page)"/>
        <w:docPartUnique/>
      </w:docPartObj>
    </w:sdtPr>
    <w:sdtEndPr>
      <w:rPr>
        <w:noProof/>
      </w:rPr>
    </w:sdtEndPr>
    <w:sdtContent>
      <w:p w:rsidR="00D64A4F" w:rsidRDefault="00D64A4F">
        <w:pPr>
          <w:pStyle w:val="Footer"/>
          <w:jc w:val="right"/>
        </w:pPr>
        <w:r>
          <w:fldChar w:fldCharType="begin"/>
        </w:r>
        <w:r>
          <w:instrText xml:space="preserve"> PAGE   \* MERGEFORMAT </w:instrText>
        </w:r>
        <w:r>
          <w:fldChar w:fldCharType="separate"/>
        </w:r>
        <w:r w:rsidR="00F172DC">
          <w:rPr>
            <w:noProof/>
          </w:rPr>
          <w:t>2</w:t>
        </w:r>
        <w:r>
          <w:rPr>
            <w:noProof/>
          </w:rPr>
          <w:fldChar w:fldCharType="end"/>
        </w:r>
      </w:p>
    </w:sdtContent>
  </w:sdt>
  <w:p w:rsidR="00AC1143" w:rsidRDefault="00AC1143">
    <w:pPr>
      <w:pStyle w:val="Footer"/>
      <w:tabs>
        <w:tab w:val="clear" w:pos="4320"/>
        <w:tab w:val="clear" w:pos="8640"/>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7B" w:rsidRDefault="00F0217B">
    <w:pPr>
      <w:pStyle w:val="Footer"/>
      <w:jc w:val="right"/>
    </w:pPr>
  </w:p>
  <w:p w:rsidR="00A67BD0" w:rsidRDefault="00A67BD0" w:rsidP="00101C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247" w:rsidRDefault="00452247">
      <w:r>
        <w:separator/>
      </w:r>
    </w:p>
  </w:footnote>
  <w:footnote w:type="continuationSeparator" w:id="0">
    <w:p w:rsidR="00452247" w:rsidRDefault="00452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C93"/>
    <w:multiLevelType w:val="singleLevel"/>
    <w:tmpl w:val="65A00964"/>
    <w:lvl w:ilvl="0">
      <w:start w:val="4"/>
      <w:numFmt w:val="decimal"/>
      <w:lvlText w:val="%1."/>
      <w:lvlJc w:val="left"/>
      <w:pPr>
        <w:tabs>
          <w:tab w:val="num" w:pos="720"/>
        </w:tabs>
        <w:ind w:left="720" w:hanging="720"/>
      </w:pPr>
      <w:rPr>
        <w:rFonts w:hint="default"/>
      </w:rPr>
    </w:lvl>
  </w:abstractNum>
  <w:abstractNum w:abstractNumId="2">
    <w:nsid w:val="02ED6243"/>
    <w:multiLevelType w:val="hybridMultilevel"/>
    <w:tmpl w:val="DF5C67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4707390"/>
    <w:multiLevelType w:val="hybridMultilevel"/>
    <w:tmpl w:val="3A9CE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842080E"/>
    <w:multiLevelType w:val="hybridMultilevel"/>
    <w:tmpl w:val="2B1AE83E"/>
    <w:lvl w:ilvl="0" w:tplc="64987B64">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124F18EC"/>
    <w:multiLevelType w:val="hybridMultilevel"/>
    <w:tmpl w:val="8FB8F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2864DD8"/>
    <w:multiLevelType w:val="hybridMultilevel"/>
    <w:tmpl w:val="41582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3AB44A3"/>
    <w:multiLevelType w:val="hybridMultilevel"/>
    <w:tmpl w:val="D27EB054"/>
    <w:lvl w:ilvl="0" w:tplc="FAEE3CF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nsid w:val="147A442E"/>
    <w:multiLevelType w:val="hybridMultilevel"/>
    <w:tmpl w:val="9FE81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C331174"/>
    <w:multiLevelType w:val="hybridMultilevel"/>
    <w:tmpl w:val="AA9A66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B2C6B13"/>
    <w:multiLevelType w:val="hybridMultilevel"/>
    <w:tmpl w:val="50402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CA86A09"/>
    <w:multiLevelType w:val="hybridMultilevel"/>
    <w:tmpl w:val="69F08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CC004D6"/>
    <w:multiLevelType w:val="hybridMultilevel"/>
    <w:tmpl w:val="73BA4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6C4D51"/>
    <w:multiLevelType w:val="hybridMultilevel"/>
    <w:tmpl w:val="AF861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3871121"/>
    <w:multiLevelType w:val="hybridMultilevel"/>
    <w:tmpl w:val="9CDC4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82B7C60"/>
    <w:multiLevelType w:val="hybridMultilevel"/>
    <w:tmpl w:val="45F2BCC6"/>
    <w:lvl w:ilvl="0" w:tplc="839444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482E98"/>
    <w:multiLevelType w:val="hybridMultilevel"/>
    <w:tmpl w:val="5B9C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3E2DC0"/>
    <w:multiLevelType w:val="hybridMultilevel"/>
    <w:tmpl w:val="BD16A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55631E4"/>
    <w:multiLevelType w:val="hybridMultilevel"/>
    <w:tmpl w:val="7ACEA502"/>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9">
    <w:nsid w:val="484F4DED"/>
    <w:multiLevelType w:val="hybridMultilevel"/>
    <w:tmpl w:val="631C844C"/>
    <w:lvl w:ilvl="0" w:tplc="21285078">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nsid w:val="4A9036E6"/>
    <w:multiLevelType w:val="hybridMultilevel"/>
    <w:tmpl w:val="B07AA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F373C21"/>
    <w:multiLevelType w:val="hybridMultilevel"/>
    <w:tmpl w:val="04882A44"/>
    <w:lvl w:ilvl="0" w:tplc="93ACA0D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nsid w:val="522F1D02"/>
    <w:multiLevelType w:val="hybridMultilevel"/>
    <w:tmpl w:val="237A6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6D45665"/>
    <w:multiLevelType w:val="hybridMultilevel"/>
    <w:tmpl w:val="93349ED2"/>
    <w:lvl w:ilvl="0" w:tplc="482067A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4">
    <w:nsid w:val="67F500A1"/>
    <w:multiLevelType w:val="hybridMultilevel"/>
    <w:tmpl w:val="78946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C412A8E"/>
    <w:multiLevelType w:val="hybridMultilevel"/>
    <w:tmpl w:val="1CB0F5CA"/>
    <w:lvl w:ilvl="0" w:tplc="6DBEB14C">
      <w:start w:val="201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4"/>
  </w:num>
  <w:num w:numId="4">
    <w:abstractNumId w:val="15"/>
  </w:num>
  <w:num w:numId="5">
    <w:abstractNumId w:val="12"/>
  </w:num>
  <w:num w:numId="6">
    <w:abstractNumId w:val="25"/>
  </w:num>
  <w:num w:numId="7">
    <w:abstractNumId w:val="3"/>
  </w:num>
  <w:num w:numId="8">
    <w:abstractNumId w:val="10"/>
  </w:num>
  <w:num w:numId="9">
    <w:abstractNumId w:val="5"/>
  </w:num>
  <w:num w:numId="10">
    <w:abstractNumId w:val="8"/>
  </w:num>
  <w:num w:numId="11">
    <w:abstractNumId w:val="24"/>
  </w:num>
  <w:num w:numId="12">
    <w:abstractNumId w:val="20"/>
  </w:num>
  <w:num w:numId="13">
    <w:abstractNumId w:val="17"/>
  </w:num>
  <w:num w:numId="14">
    <w:abstractNumId w:val="21"/>
  </w:num>
  <w:num w:numId="15">
    <w:abstractNumId w:val="19"/>
  </w:num>
  <w:num w:numId="16">
    <w:abstractNumId w:val="23"/>
  </w:num>
  <w:num w:numId="17">
    <w:abstractNumId w:val="7"/>
  </w:num>
  <w:num w:numId="18">
    <w:abstractNumId w:val="6"/>
  </w:num>
  <w:num w:numId="19">
    <w:abstractNumId w:val="16"/>
  </w:num>
  <w:num w:numId="20">
    <w:abstractNumId w:val="2"/>
  </w:num>
  <w:num w:numId="21">
    <w:abstractNumId w:val="11"/>
  </w:num>
  <w:num w:numId="22">
    <w:abstractNumId w:val="18"/>
  </w:num>
  <w:num w:numId="23">
    <w:abstractNumId w:val="9"/>
  </w:num>
  <w:num w:numId="24">
    <w:abstractNumId w:val="13"/>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3B"/>
    <w:rsid w:val="00003AE7"/>
    <w:rsid w:val="00006D64"/>
    <w:rsid w:val="0001039C"/>
    <w:rsid w:val="0001299A"/>
    <w:rsid w:val="000143FC"/>
    <w:rsid w:val="00015DFB"/>
    <w:rsid w:val="0002225A"/>
    <w:rsid w:val="00034943"/>
    <w:rsid w:val="00042F90"/>
    <w:rsid w:val="00051D60"/>
    <w:rsid w:val="00066DF6"/>
    <w:rsid w:val="00070893"/>
    <w:rsid w:val="00074164"/>
    <w:rsid w:val="0008336F"/>
    <w:rsid w:val="0008558D"/>
    <w:rsid w:val="00090AC7"/>
    <w:rsid w:val="000B0DEC"/>
    <w:rsid w:val="000B14B9"/>
    <w:rsid w:val="000C189B"/>
    <w:rsid w:val="000C3332"/>
    <w:rsid w:val="000E231D"/>
    <w:rsid w:val="000F5059"/>
    <w:rsid w:val="000F654D"/>
    <w:rsid w:val="00101C02"/>
    <w:rsid w:val="00110C91"/>
    <w:rsid w:val="0011214F"/>
    <w:rsid w:val="00117B04"/>
    <w:rsid w:val="00127417"/>
    <w:rsid w:val="00136C5D"/>
    <w:rsid w:val="00137B62"/>
    <w:rsid w:val="001403CC"/>
    <w:rsid w:val="001431CC"/>
    <w:rsid w:val="0017439F"/>
    <w:rsid w:val="00191376"/>
    <w:rsid w:val="00193C42"/>
    <w:rsid w:val="001A0658"/>
    <w:rsid w:val="001A1A09"/>
    <w:rsid w:val="001B26CE"/>
    <w:rsid w:val="001B5E26"/>
    <w:rsid w:val="001C35FC"/>
    <w:rsid w:val="001D359D"/>
    <w:rsid w:val="001D60BD"/>
    <w:rsid w:val="001E61C4"/>
    <w:rsid w:val="001E6863"/>
    <w:rsid w:val="001F432B"/>
    <w:rsid w:val="00205AF7"/>
    <w:rsid w:val="00225704"/>
    <w:rsid w:val="00237187"/>
    <w:rsid w:val="00254F0C"/>
    <w:rsid w:val="00270CFD"/>
    <w:rsid w:val="0028527A"/>
    <w:rsid w:val="00285806"/>
    <w:rsid w:val="00287452"/>
    <w:rsid w:val="002A779D"/>
    <w:rsid w:val="002C0BC9"/>
    <w:rsid w:val="002C17FB"/>
    <w:rsid w:val="002C36A3"/>
    <w:rsid w:val="002C59D2"/>
    <w:rsid w:val="002E04B1"/>
    <w:rsid w:val="002E5946"/>
    <w:rsid w:val="002F0FEA"/>
    <w:rsid w:val="002F723B"/>
    <w:rsid w:val="002F7C8A"/>
    <w:rsid w:val="00313558"/>
    <w:rsid w:val="0031515B"/>
    <w:rsid w:val="00325794"/>
    <w:rsid w:val="00336BCA"/>
    <w:rsid w:val="003410C7"/>
    <w:rsid w:val="00341249"/>
    <w:rsid w:val="00342E2E"/>
    <w:rsid w:val="00364025"/>
    <w:rsid w:val="003847FF"/>
    <w:rsid w:val="0038766E"/>
    <w:rsid w:val="0039088E"/>
    <w:rsid w:val="003B528A"/>
    <w:rsid w:val="003C6BAD"/>
    <w:rsid w:val="003C77EA"/>
    <w:rsid w:val="003D48CD"/>
    <w:rsid w:val="003E66DF"/>
    <w:rsid w:val="00401E3B"/>
    <w:rsid w:val="00402824"/>
    <w:rsid w:val="0041774B"/>
    <w:rsid w:val="004216CB"/>
    <w:rsid w:val="00452247"/>
    <w:rsid w:val="0046053B"/>
    <w:rsid w:val="00464E5A"/>
    <w:rsid w:val="0046736A"/>
    <w:rsid w:val="00470DFA"/>
    <w:rsid w:val="004723DB"/>
    <w:rsid w:val="004800CC"/>
    <w:rsid w:val="004873E6"/>
    <w:rsid w:val="004939E1"/>
    <w:rsid w:val="004A3CF3"/>
    <w:rsid w:val="004A69C6"/>
    <w:rsid w:val="004A7329"/>
    <w:rsid w:val="004B7B92"/>
    <w:rsid w:val="004C240A"/>
    <w:rsid w:val="004C4933"/>
    <w:rsid w:val="004D3EF6"/>
    <w:rsid w:val="004D4D56"/>
    <w:rsid w:val="004E48B6"/>
    <w:rsid w:val="004E5AC5"/>
    <w:rsid w:val="004F2379"/>
    <w:rsid w:val="004F5746"/>
    <w:rsid w:val="00500136"/>
    <w:rsid w:val="00511963"/>
    <w:rsid w:val="005370A1"/>
    <w:rsid w:val="005550D6"/>
    <w:rsid w:val="00556670"/>
    <w:rsid w:val="00560BBE"/>
    <w:rsid w:val="005610FC"/>
    <w:rsid w:val="00577008"/>
    <w:rsid w:val="00581756"/>
    <w:rsid w:val="005956CE"/>
    <w:rsid w:val="0059589A"/>
    <w:rsid w:val="005A1FA5"/>
    <w:rsid w:val="005A55C9"/>
    <w:rsid w:val="005B04E2"/>
    <w:rsid w:val="005B06F2"/>
    <w:rsid w:val="005B0851"/>
    <w:rsid w:val="005B6D5D"/>
    <w:rsid w:val="005C4BAF"/>
    <w:rsid w:val="005D6355"/>
    <w:rsid w:val="005F2434"/>
    <w:rsid w:val="00601F39"/>
    <w:rsid w:val="00606173"/>
    <w:rsid w:val="00610200"/>
    <w:rsid w:val="00610983"/>
    <w:rsid w:val="0062277D"/>
    <w:rsid w:val="00624C2F"/>
    <w:rsid w:val="0063204A"/>
    <w:rsid w:val="00643623"/>
    <w:rsid w:val="00670513"/>
    <w:rsid w:val="00670CE8"/>
    <w:rsid w:val="00681E83"/>
    <w:rsid w:val="00682E52"/>
    <w:rsid w:val="00684305"/>
    <w:rsid w:val="00694E76"/>
    <w:rsid w:val="006A4E3E"/>
    <w:rsid w:val="006B4F70"/>
    <w:rsid w:val="006D5869"/>
    <w:rsid w:val="006D5FBE"/>
    <w:rsid w:val="006D7C76"/>
    <w:rsid w:val="006E3856"/>
    <w:rsid w:val="006E427F"/>
    <w:rsid w:val="006F3B8E"/>
    <w:rsid w:val="0070005E"/>
    <w:rsid w:val="00702AA2"/>
    <w:rsid w:val="00717E10"/>
    <w:rsid w:val="00723806"/>
    <w:rsid w:val="00725480"/>
    <w:rsid w:val="00726393"/>
    <w:rsid w:val="00731BA9"/>
    <w:rsid w:val="00752303"/>
    <w:rsid w:val="0076118C"/>
    <w:rsid w:val="007660D7"/>
    <w:rsid w:val="0077009D"/>
    <w:rsid w:val="007807F6"/>
    <w:rsid w:val="0078117A"/>
    <w:rsid w:val="00784E79"/>
    <w:rsid w:val="00787C0D"/>
    <w:rsid w:val="007967B7"/>
    <w:rsid w:val="007B59BD"/>
    <w:rsid w:val="007C4C4E"/>
    <w:rsid w:val="007D56B5"/>
    <w:rsid w:val="007E6F37"/>
    <w:rsid w:val="007F4F00"/>
    <w:rsid w:val="007F53FF"/>
    <w:rsid w:val="007F54A4"/>
    <w:rsid w:val="008105F8"/>
    <w:rsid w:val="00813619"/>
    <w:rsid w:val="0082618F"/>
    <w:rsid w:val="0082646E"/>
    <w:rsid w:val="00826584"/>
    <w:rsid w:val="008300EF"/>
    <w:rsid w:val="00836B44"/>
    <w:rsid w:val="00844051"/>
    <w:rsid w:val="00851792"/>
    <w:rsid w:val="008718D2"/>
    <w:rsid w:val="008722D9"/>
    <w:rsid w:val="00873D4E"/>
    <w:rsid w:val="00882614"/>
    <w:rsid w:val="00884DE1"/>
    <w:rsid w:val="00886116"/>
    <w:rsid w:val="00887419"/>
    <w:rsid w:val="00893D0A"/>
    <w:rsid w:val="00894A2D"/>
    <w:rsid w:val="008A08B3"/>
    <w:rsid w:val="008A7427"/>
    <w:rsid w:val="008C69E7"/>
    <w:rsid w:val="008D2323"/>
    <w:rsid w:val="008D4D6F"/>
    <w:rsid w:val="008D619D"/>
    <w:rsid w:val="008D748E"/>
    <w:rsid w:val="008E62FF"/>
    <w:rsid w:val="008F1C68"/>
    <w:rsid w:val="008F517B"/>
    <w:rsid w:val="00911F3D"/>
    <w:rsid w:val="0091346E"/>
    <w:rsid w:val="00915B10"/>
    <w:rsid w:val="00920D52"/>
    <w:rsid w:val="00927FA3"/>
    <w:rsid w:val="0094076A"/>
    <w:rsid w:val="00942016"/>
    <w:rsid w:val="00945345"/>
    <w:rsid w:val="00957123"/>
    <w:rsid w:val="009607BA"/>
    <w:rsid w:val="00962BB8"/>
    <w:rsid w:val="009A12C8"/>
    <w:rsid w:val="009B06F9"/>
    <w:rsid w:val="009B3869"/>
    <w:rsid w:val="009C697E"/>
    <w:rsid w:val="009C77AD"/>
    <w:rsid w:val="009E5DD2"/>
    <w:rsid w:val="009E6066"/>
    <w:rsid w:val="00A0501A"/>
    <w:rsid w:val="00A0521C"/>
    <w:rsid w:val="00A20C33"/>
    <w:rsid w:val="00A21209"/>
    <w:rsid w:val="00A2754B"/>
    <w:rsid w:val="00A3281E"/>
    <w:rsid w:val="00A351D4"/>
    <w:rsid w:val="00A369BF"/>
    <w:rsid w:val="00A43331"/>
    <w:rsid w:val="00A52326"/>
    <w:rsid w:val="00A60863"/>
    <w:rsid w:val="00A60988"/>
    <w:rsid w:val="00A672D3"/>
    <w:rsid w:val="00A67BD0"/>
    <w:rsid w:val="00A753F5"/>
    <w:rsid w:val="00A94623"/>
    <w:rsid w:val="00A97E09"/>
    <w:rsid w:val="00AA5358"/>
    <w:rsid w:val="00AB3C9D"/>
    <w:rsid w:val="00AB47CC"/>
    <w:rsid w:val="00AB706C"/>
    <w:rsid w:val="00AC1143"/>
    <w:rsid w:val="00AC2DAE"/>
    <w:rsid w:val="00AD1624"/>
    <w:rsid w:val="00AD2A50"/>
    <w:rsid w:val="00AD3A48"/>
    <w:rsid w:val="00AE0D59"/>
    <w:rsid w:val="00AF3FEA"/>
    <w:rsid w:val="00B05A46"/>
    <w:rsid w:val="00B16474"/>
    <w:rsid w:val="00B35C9A"/>
    <w:rsid w:val="00B45A11"/>
    <w:rsid w:val="00B47BB1"/>
    <w:rsid w:val="00B6014B"/>
    <w:rsid w:val="00B60FA6"/>
    <w:rsid w:val="00B64A6A"/>
    <w:rsid w:val="00B66EC2"/>
    <w:rsid w:val="00B70C6D"/>
    <w:rsid w:val="00B71801"/>
    <w:rsid w:val="00B77070"/>
    <w:rsid w:val="00B80049"/>
    <w:rsid w:val="00B86755"/>
    <w:rsid w:val="00B90C3D"/>
    <w:rsid w:val="00B9529E"/>
    <w:rsid w:val="00B959DA"/>
    <w:rsid w:val="00BA3E2E"/>
    <w:rsid w:val="00BA658A"/>
    <w:rsid w:val="00BA75F3"/>
    <w:rsid w:val="00BB6959"/>
    <w:rsid w:val="00BC5C21"/>
    <w:rsid w:val="00BC63B7"/>
    <w:rsid w:val="00BD0D14"/>
    <w:rsid w:val="00BD15D2"/>
    <w:rsid w:val="00BD5974"/>
    <w:rsid w:val="00BF0E3D"/>
    <w:rsid w:val="00C0425B"/>
    <w:rsid w:val="00C05119"/>
    <w:rsid w:val="00C3488E"/>
    <w:rsid w:val="00C55438"/>
    <w:rsid w:val="00C6098F"/>
    <w:rsid w:val="00C66A9F"/>
    <w:rsid w:val="00C67E96"/>
    <w:rsid w:val="00C8355E"/>
    <w:rsid w:val="00C87423"/>
    <w:rsid w:val="00C9229F"/>
    <w:rsid w:val="00C92B23"/>
    <w:rsid w:val="00CA0262"/>
    <w:rsid w:val="00CA0598"/>
    <w:rsid w:val="00CA29D6"/>
    <w:rsid w:val="00CA36F1"/>
    <w:rsid w:val="00CA3994"/>
    <w:rsid w:val="00CA438F"/>
    <w:rsid w:val="00CA4553"/>
    <w:rsid w:val="00CC787E"/>
    <w:rsid w:val="00CE2246"/>
    <w:rsid w:val="00CF5162"/>
    <w:rsid w:val="00CF600E"/>
    <w:rsid w:val="00D13EEE"/>
    <w:rsid w:val="00D14BC9"/>
    <w:rsid w:val="00D21250"/>
    <w:rsid w:val="00D2700F"/>
    <w:rsid w:val="00D411A0"/>
    <w:rsid w:val="00D4780D"/>
    <w:rsid w:val="00D5187B"/>
    <w:rsid w:val="00D57524"/>
    <w:rsid w:val="00D57E40"/>
    <w:rsid w:val="00D603DF"/>
    <w:rsid w:val="00D64A4F"/>
    <w:rsid w:val="00D80AD3"/>
    <w:rsid w:val="00D84AC5"/>
    <w:rsid w:val="00D92AE7"/>
    <w:rsid w:val="00D97615"/>
    <w:rsid w:val="00DA5F84"/>
    <w:rsid w:val="00DB0398"/>
    <w:rsid w:val="00DB63CA"/>
    <w:rsid w:val="00DB7903"/>
    <w:rsid w:val="00DC6511"/>
    <w:rsid w:val="00DD6C75"/>
    <w:rsid w:val="00DE4FCA"/>
    <w:rsid w:val="00DF5151"/>
    <w:rsid w:val="00E14FB4"/>
    <w:rsid w:val="00E2410E"/>
    <w:rsid w:val="00E27795"/>
    <w:rsid w:val="00E31320"/>
    <w:rsid w:val="00E31606"/>
    <w:rsid w:val="00E33056"/>
    <w:rsid w:val="00E33F08"/>
    <w:rsid w:val="00E42E85"/>
    <w:rsid w:val="00E46D86"/>
    <w:rsid w:val="00E46E8B"/>
    <w:rsid w:val="00E471CA"/>
    <w:rsid w:val="00E57838"/>
    <w:rsid w:val="00E642FA"/>
    <w:rsid w:val="00E729AA"/>
    <w:rsid w:val="00E83A6D"/>
    <w:rsid w:val="00E8656A"/>
    <w:rsid w:val="00E87113"/>
    <w:rsid w:val="00E90F8B"/>
    <w:rsid w:val="00EA11FE"/>
    <w:rsid w:val="00EA18C4"/>
    <w:rsid w:val="00EA7B90"/>
    <w:rsid w:val="00EC1013"/>
    <w:rsid w:val="00EC6DB6"/>
    <w:rsid w:val="00ED5E39"/>
    <w:rsid w:val="00EE1747"/>
    <w:rsid w:val="00EE19A4"/>
    <w:rsid w:val="00EE2422"/>
    <w:rsid w:val="00EF0967"/>
    <w:rsid w:val="00EF1192"/>
    <w:rsid w:val="00EF64E8"/>
    <w:rsid w:val="00F0123F"/>
    <w:rsid w:val="00F01C42"/>
    <w:rsid w:val="00F0217B"/>
    <w:rsid w:val="00F0756B"/>
    <w:rsid w:val="00F172DC"/>
    <w:rsid w:val="00F26B59"/>
    <w:rsid w:val="00F26DAF"/>
    <w:rsid w:val="00F3275C"/>
    <w:rsid w:val="00F4029A"/>
    <w:rsid w:val="00F42294"/>
    <w:rsid w:val="00F43612"/>
    <w:rsid w:val="00F5118E"/>
    <w:rsid w:val="00F519AD"/>
    <w:rsid w:val="00F640D4"/>
    <w:rsid w:val="00F71523"/>
    <w:rsid w:val="00F84EFB"/>
    <w:rsid w:val="00F87592"/>
    <w:rsid w:val="00FC383A"/>
    <w:rsid w:val="00FD6A1F"/>
    <w:rsid w:val="00FF42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8E"/>
    <w:pPr>
      <w:widowControl w:val="0"/>
    </w:pPr>
    <w:rPr>
      <w:rFonts w:ascii="Arial" w:hAnsi="Arial"/>
      <w:snapToGrid w:val="0"/>
      <w:sz w:val="24"/>
      <w:lang w:eastAsia="en-US"/>
    </w:rPr>
  </w:style>
  <w:style w:type="paragraph" w:styleId="Heading1">
    <w:name w:val="heading 1"/>
    <w:basedOn w:val="Normal"/>
    <w:next w:val="Normal"/>
    <w:qFormat/>
    <w:rsid w:val="008D748E"/>
    <w:pPr>
      <w:keepNext/>
      <w:jc w:val="right"/>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48E"/>
  </w:style>
  <w:style w:type="paragraph" w:customStyle="1" w:styleId="Level1">
    <w:name w:val="Level 1"/>
    <w:basedOn w:val="Normal"/>
    <w:rsid w:val="008D748E"/>
    <w:pPr>
      <w:numPr>
        <w:numId w:val="1"/>
      </w:numPr>
      <w:ind w:left="720" w:hanging="720"/>
      <w:outlineLvl w:val="0"/>
    </w:pPr>
  </w:style>
  <w:style w:type="paragraph" w:styleId="Header">
    <w:name w:val="header"/>
    <w:basedOn w:val="Normal"/>
    <w:semiHidden/>
    <w:rsid w:val="008D748E"/>
    <w:pPr>
      <w:tabs>
        <w:tab w:val="center" w:pos="4320"/>
        <w:tab w:val="right" w:pos="8640"/>
      </w:tabs>
    </w:pPr>
  </w:style>
  <w:style w:type="paragraph" w:styleId="Footer">
    <w:name w:val="footer"/>
    <w:basedOn w:val="Normal"/>
    <w:link w:val="FooterChar"/>
    <w:uiPriority w:val="99"/>
    <w:rsid w:val="008D748E"/>
    <w:pPr>
      <w:tabs>
        <w:tab w:val="center" w:pos="4320"/>
        <w:tab w:val="right" w:pos="8640"/>
      </w:tabs>
    </w:pPr>
  </w:style>
  <w:style w:type="character" w:styleId="PageNumber">
    <w:name w:val="page number"/>
    <w:basedOn w:val="DefaultParagraphFont"/>
    <w:semiHidden/>
    <w:rsid w:val="008D748E"/>
  </w:style>
  <w:style w:type="character" w:styleId="CommentReference">
    <w:name w:val="annotation reference"/>
    <w:basedOn w:val="DefaultParagraphFont"/>
    <w:semiHidden/>
    <w:rsid w:val="008D748E"/>
    <w:rPr>
      <w:sz w:val="16"/>
      <w:szCs w:val="16"/>
    </w:rPr>
  </w:style>
  <w:style w:type="paragraph" w:styleId="CommentText">
    <w:name w:val="annotation text"/>
    <w:basedOn w:val="Normal"/>
    <w:semiHidden/>
    <w:rsid w:val="008D748E"/>
    <w:rPr>
      <w:sz w:val="20"/>
    </w:rPr>
  </w:style>
  <w:style w:type="character" w:customStyle="1" w:styleId="FooterChar">
    <w:name w:val="Footer Char"/>
    <w:basedOn w:val="DefaultParagraphFont"/>
    <w:link w:val="Footer"/>
    <w:uiPriority w:val="99"/>
    <w:rsid w:val="00A67BD0"/>
    <w:rPr>
      <w:rFonts w:ascii="Arial" w:hAnsi="Arial"/>
      <w:snapToGrid w:val="0"/>
      <w:sz w:val="24"/>
      <w:lang w:eastAsia="en-US"/>
    </w:rPr>
  </w:style>
  <w:style w:type="paragraph" w:styleId="ListParagraph">
    <w:name w:val="List Paragraph"/>
    <w:basedOn w:val="Normal"/>
    <w:uiPriority w:val="34"/>
    <w:qFormat/>
    <w:rsid w:val="001431CC"/>
    <w:pPr>
      <w:widowControl/>
      <w:ind w:left="720"/>
    </w:pPr>
    <w:rPr>
      <w:rFonts w:eastAsiaTheme="minorHAnsi" w:cs="Arial"/>
      <w:b/>
      <w:bCs/>
      <w:snapToGrid/>
      <w:szCs w:val="24"/>
      <w:lang w:val="en-US"/>
    </w:rPr>
  </w:style>
  <w:style w:type="table" w:styleId="TableGrid">
    <w:name w:val="Table Grid"/>
    <w:basedOn w:val="TableNormal"/>
    <w:uiPriority w:val="59"/>
    <w:rsid w:val="004D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77EA"/>
    <w:rPr>
      <w:rFonts w:ascii="Tahoma" w:hAnsi="Tahoma" w:cs="Tahoma"/>
      <w:sz w:val="16"/>
      <w:szCs w:val="16"/>
    </w:rPr>
  </w:style>
  <w:style w:type="character" w:customStyle="1" w:styleId="BalloonTextChar">
    <w:name w:val="Balloon Text Char"/>
    <w:basedOn w:val="DefaultParagraphFont"/>
    <w:link w:val="BalloonText"/>
    <w:uiPriority w:val="99"/>
    <w:semiHidden/>
    <w:rsid w:val="003C77EA"/>
    <w:rPr>
      <w:rFonts w:ascii="Tahoma" w:hAnsi="Tahoma" w:cs="Tahoma"/>
      <w:snapToGrid w:val="0"/>
      <w:sz w:val="16"/>
      <w:szCs w:val="16"/>
      <w:lang w:eastAsia="en-US"/>
    </w:rPr>
  </w:style>
  <w:style w:type="character" w:customStyle="1" w:styleId="caps1">
    <w:name w:val="caps1"/>
    <w:basedOn w:val="DefaultParagraphFont"/>
    <w:rsid w:val="00AB47CC"/>
    <w:rPr>
      <w:sz w:val="22"/>
      <w:szCs w:val="22"/>
    </w:rPr>
  </w:style>
  <w:style w:type="paragraph" w:styleId="NormalWeb">
    <w:name w:val="Normal (Web)"/>
    <w:basedOn w:val="Normal"/>
    <w:uiPriority w:val="99"/>
    <w:semiHidden/>
    <w:unhideWhenUsed/>
    <w:rsid w:val="00CA3994"/>
    <w:pPr>
      <w:widowControl/>
      <w:spacing w:before="100" w:beforeAutospacing="1" w:after="100" w:afterAutospacing="1"/>
    </w:pPr>
    <w:rPr>
      <w:rFonts w:ascii="Times New Roman" w:hAnsi="Times New Roman"/>
      <w:snapToGrid/>
      <w:szCs w:val="24"/>
      <w:lang w:eastAsia="en-CA"/>
    </w:rPr>
  </w:style>
  <w:style w:type="character" w:styleId="Emphasis">
    <w:name w:val="Emphasis"/>
    <w:basedOn w:val="DefaultParagraphFont"/>
    <w:uiPriority w:val="20"/>
    <w:qFormat/>
    <w:rsid w:val="00CA3994"/>
    <w:rPr>
      <w:i/>
      <w:iCs/>
    </w:rPr>
  </w:style>
  <w:style w:type="character" w:styleId="Strong">
    <w:name w:val="Strong"/>
    <w:basedOn w:val="DefaultParagraphFont"/>
    <w:uiPriority w:val="22"/>
    <w:qFormat/>
    <w:rsid w:val="00CA3994"/>
    <w:rPr>
      <w:b/>
      <w:bCs/>
    </w:rPr>
  </w:style>
  <w:style w:type="character" w:customStyle="1" w:styleId="A1">
    <w:name w:val="A1"/>
    <w:uiPriority w:val="99"/>
    <w:rsid w:val="00EC6DB6"/>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8E"/>
    <w:pPr>
      <w:widowControl w:val="0"/>
    </w:pPr>
    <w:rPr>
      <w:rFonts w:ascii="Arial" w:hAnsi="Arial"/>
      <w:snapToGrid w:val="0"/>
      <w:sz w:val="24"/>
      <w:lang w:eastAsia="en-US"/>
    </w:rPr>
  </w:style>
  <w:style w:type="paragraph" w:styleId="Heading1">
    <w:name w:val="heading 1"/>
    <w:basedOn w:val="Normal"/>
    <w:next w:val="Normal"/>
    <w:qFormat/>
    <w:rsid w:val="008D748E"/>
    <w:pPr>
      <w:keepNext/>
      <w:jc w:val="right"/>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48E"/>
  </w:style>
  <w:style w:type="paragraph" w:customStyle="1" w:styleId="Level1">
    <w:name w:val="Level 1"/>
    <w:basedOn w:val="Normal"/>
    <w:rsid w:val="008D748E"/>
    <w:pPr>
      <w:numPr>
        <w:numId w:val="1"/>
      </w:numPr>
      <w:ind w:left="720" w:hanging="720"/>
      <w:outlineLvl w:val="0"/>
    </w:pPr>
  </w:style>
  <w:style w:type="paragraph" w:styleId="Header">
    <w:name w:val="header"/>
    <w:basedOn w:val="Normal"/>
    <w:semiHidden/>
    <w:rsid w:val="008D748E"/>
    <w:pPr>
      <w:tabs>
        <w:tab w:val="center" w:pos="4320"/>
        <w:tab w:val="right" w:pos="8640"/>
      </w:tabs>
    </w:pPr>
  </w:style>
  <w:style w:type="paragraph" w:styleId="Footer">
    <w:name w:val="footer"/>
    <w:basedOn w:val="Normal"/>
    <w:link w:val="FooterChar"/>
    <w:uiPriority w:val="99"/>
    <w:rsid w:val="008D748E"/>
    <w:pPr>
      <w:tabs>
        <w:tab w:val="center" w:pos="4320"/>
        <w:tab w:val="right" w:pos="8640"/>
      </w:tabs>
    </w:pPr>
  </w:style>
  <w:style w:type="character" w:styleId="PageNumber">
    <w:name w:val="page number"/>
    <w:basedOn w:val="DefaultParagraphFont"/>
    <w:semiHidden/>
    <w:rsid w:val="008D748E"/>
  </w:style>
  <w:style w:type="character" w:styleId="CommentReference">
    <w:name w:val="annotation reference"/>
    <w:basedOn w:val="DefaultParagraphFont"/>
    <w:semiHidden/>
    <w:rsid w:val="008D748E"/>
    <w:rPr>
      <w:sz w:val="16"/>
      <w:szCs w:val="16"/>
    </w:rPr>
  </w:style>
  <w:style w:type="paragraph" w:styleId="CommentText">
    <w:name w:val="annotation text"/>
    <w:basedOn w:val="Normal"/>
    <w:semiHidden/>
    <w:rsid w:val="008D748E"/>
    <w:rPr>
      <w:sz w:val="20"/>
    </w:rPr>
  </w:style>
  <w:style w:type="character" w:customStyle="1" w:styleId="FooterChar">
    <w:name w:val="Footer Char"/>
    <w:basedOn w:val="DefaultParagraphFont"/>
    <w:link w:val="Footer"/>
    <w:uiPriority w:val="99"/>
    <w:rsid w:val="00A67BD0"/>
    <w:rPr>
      <w:rFonts w:ascii="Arial" w:hAnsi="Arial"/>
      <w:snapToGrid w:val="0"/>
      <w:sz w:val="24"/>
      <w:lang w:eastAsia="en-US"/>
    </w:rPr>
  </w:style>
  <w:style w:type="paragraph" w:styleId="ListParagraph">
    <w:name w:val="List Paragraph"/>
    <w:basedOn w:val="Normal"/>
    <w:uiPriority w:val="34"/>
    <w:qFormat/>
    <w:rsid w:val="001431CC"/>
    <w:pPr>
      <w:widowControl/>
      <w:ind w:left="720"/>
    </w:pPr>
    <w:rPr>
      <w:rFonts w:eastAsiaTheme="minorHAnsi" w:cs="Arial"/>
      <w:b/>
      <w:bCs/>
      <w:snapToGrid/>
      <w:szCs w:val="24"/>
      <w:lang w:val="en-US"/>
    </w:rPr>
  </w:style>
  <w:style w:type="table" w:styleId="TableGrid">
    <w:name w:val="Table Grid"/>
    <w:basedOn w:val="TableNormal"/>
    <w:uiPriority w:val="59"/>
    <w:rsid w:val="004D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77EA"/>
    <w:rPr>
      <w:rFonts w:ascii="Tahoma" w:hAnsi="Tahoma" w:cs="Tahoma"/>
      <w:sz w:val="16"/>
      <w:szCs w:val="16"/>
    </w:rPr>
  </w:style>
  <w:style w:type="character" w:customStyle="1" w:styleId="BalloonTextChar">
    <w:name w:val="Balloon Text Char"/>
    <w:basedOn w:val="DefaultParagraphFont"/>
    <w:link w:val="BalloonText"/>
    <w:uiPriority w:val="99"/>
    <w:semiHidden/>
    <w:rsid w:val="003C77EA"/>
    <w:rPr>
      <w:rFonts w:ascii="Tahoma" w:hAnsi="Tahoma" w:cs="Tahoma"/>
      <w:snapToGrid w:val="0"/>
      <w:sz w:val="16"/>
      <w:szCs w:val="16"/>
      <w:lang w:eastAsia="en-US"/>
    </w:rPr>
  </w:style>
  <w:style w:type="character" w:customStyle="1" w:styleId="caps1">
    <w:name w:val="caps1"/>
    <w:basedOn w:val="DefaultParagraphFont"/>
    <w:rsid w:val="00AB47CC"/>
    <w:rPr>
      <w:sz w:val="22"/>
      <w:szCs w:val="22"/>
    </w:rPr>
  </w:style>
  <w:style w:type="paragraph" w:styleId="NormalWeb">
    <w:name w:val="Normal (Web)"/>
    <w:basedOn w:val="Normal"/>
    <w:uiPriority w:val="99"/>
    <w:semiHidden/>
    <w:unhideWhenUsed/>
    <w:rsid w:val="00CA3994"/>
    <w:pPr>
      <w:widowControl/>
      <w:spacing w:before="100" w:beforeAutospacing="1" w:after="100" w:afterAutospacing="1"/>
    </w:pPr>
    <w:rPr>
      <w:rFonts w:ascii="Times New Roman" w:hAnsi="Times New Roman"/>
      <w:snapToGrid/>
      <w:szCs w:val="24"/>
      <w:lang w:eastAsia="en-CA"/>
    </w:rPr>
  </w:style>
  <w:style w:type="character" w:styleId="Emphasis">
    <w:name w:val="Emphasis"/>
    <w:basedOn w:val="DefaultParagraphFont"/>
    <w:uiPriority w:val="20"/>
    <w:qFormat/>
    <w:rsid w:val="00CA3994"/>
    <w:rPr>
      <w:i/>
      <w:iCs/>
    </w:rPr>
  </w:style>
  <w:style w:type="character" w:styleId="Strong">
    <w:name w:val="Strong"/>
    <w:basedOn w:val="DefaultParagraphFont"/>
    <w:uiPriority w:val="22"/>
    <w:qFormat/>
    <w:rsid w:val="00CA3994"/>
    <w:rPr>
      <w:b/>
      <w:bCs/>
    </w:rPr>
  </w:style>
  <w:style w:type="character" w:customStyle="1" w:styleId="A1">
    <w:name w:val="A1"/>
    <w:uiPriority w:val="99"/>
    <w:rsid w:val="00EC6DB6"/>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76984">
      <w:bodyDiv w:val="1"/>
      <w:marLeft w:val="0"/>
      <w:marRight w:val="0"/>
      <w:marTop w:val="0"/>
      <w:marBottom w:val="0"/>
      <w:divBdr>
        <w:top w:val="none" w:sz="0" w:space="0" w:color="auto"/>
        <w:left w:val="none" w:sz="0" w:space="0" w:color="auto"/>
        <w:bottom w:val="none" w:sz="0" w:space="0" w:color="auto"/>
        <w:right w:val="none" w:sz="0" w:space="0" w:color="auto"/>
      </w:divBdr>
    </w:div>
    <w:div w:id="877427561">
      <w:bodyDiv w:val="1"/>
      <w:marLeft w:val="0"/>
      <w:marRight w:val="0"/>
      <w:marTop w:val="0"/>
      <w:marBottom w:val="0"/>
      <w:divBdr>
        <w:top w:val="none" w:sz="0" w:space="0" w:color="auto"/>
        <w:left w:val="none" w:sz="0" w:space="0" w:color="auto"/>
        <w:bottom w:val="none" w:sz="0" w:space="0" w:color="auto"/>
        <w:right w:val="none" w:sz="0" w:space="0" w:color="auto"/>
      </w:divBdr>
      <w:divsChild>
        <w:div w:id="166942811">
          <w:marLeft w:val="0"/>
          <w:marRight w:val="0"/>
          <w:marTop w:val="0"/>
          <w:marBottom w:val="0"/>
          <w:divBdr>
            <w:top w:val="none" w:sz="0" w:space="0" w:color="auto"/>
            <w:left w:val="none" w:sz="0" w:space="0" w:color="auto"/>
            <w:bottom w:val="none" w:sz="0" w:space="0" w:color="auto"/>
            <w:right w:val="none" w:sz="0" w:space="0" w:color="auto"/>
          </w:divBdr>
          <w:divsChild>
            <w:div w:id="1434007626">
              <w:marLeft w:val="0"/>
              <w:marRight w:val="0"/>
              <w:marTop w:val="0"/>
              <w:marBottom w:val="0"/>
              <w:divBdr>
                <w:top w:val="none" w:sz="0" w:space="0" w:color="auto"/>
                <w:left w:val="none" w:sz="0" w:space="0" w:color="auto"/>
                <w:bottom w:val="none" w:sz="0" w:space="0" w:color="auto"/>
                <w:right w:val="none" w:sz="0" w:space="0" w:color="auto"/>
              </w:divBdr>
              <w:divsChild>
                <w:div w:id="1633168282">
                  <w:marLeft w:val="0"/>
                  <w:marRight w:val="0"/>
                  <w:marTop w:val="0"/>
                  <w:marBottom w:val="0"/>
                  <w:divBdr>
                    <w:top w:val="none" w:sz="0" w:space="0" w:color="auto"/>
                    <w:left w:val="none" w:sz="0" w:space="0" w:color="auto"/>
                    <w:bottom w:val="none" w:sz="0" w:space="0" w:color="auto"/>
                    <w:right w:val="none" w:sz="0" w:space="0" w:color="auto"/>
                  </w:divBdr>
                  <w:divsChild>
                    <w:div w:id="65685481">
                      <w:marLeft w:val="0"/>
                      <w:marRight w:val="0"/>
                      <w:marTop w:val="0"/>
                      <w:marBottom w:val="0"/>
                      <w:divBdr>
                        <w:top w:val="none" w:sz="0" w:space="0" w:color="auto"/>
                        <w:left w:val="none" w:sz="0" w:space="0" w:color="auto"/>
                        <w:bottom w:val="none" w:sz="0" w:space="0" w:color="auto"/>
                        <w:right w:val="none" w:sz="0" w:space="0" w:color="auto"/>
                      </w:divBdr>
                      <w:divsChild>
                        <w:div w:id="324020751">
                          <w:marLeft w:val="0"/>
                          <w:marRight w:val="0"/>
                          <w:marTop w:val="0"/>
                          <w:marBottom w:val="0"/>
                          <w:divBdr>
                            <w:top w:val="none" w:sz="0" w:space="0" w:color="auto"/>
                            <w:left w:val="none" w:sz="0" w:space="0" w:color="auto"/>
                            <w:bottom w:val="none" w:sz="0" w:space="0" w:color="auto"/>
                            <w:right w:val="none" w:sz="0" w:space="0" w:color="auto"/>
                          </w:divBdr>
                          <w:divsChild>
                            <w:div w:id="784739368">
                              <w:marLeft w:val="0"/>
                              <w:marRight w:val="0"/>
                              <w:marTop w:val="100"/>
                              <w:marBottom w:val="100"/>
                              <w:divBdr>
                                <w:top w:val="none" w:sz="0" w:space="0" w:color="auto"/>
                                <w:left w:val="none" w:sz="0" w:space="0" w:color="auto"/>
                                <w:bottom w:val="none" w:sz="0" w:space="0" w:color="auto"/>
                                <w:right w:val="none" w:sz="0" w:space="0" w:color="auto"/>
                              </w:divBdr>
                              <w:divsChild>
                                <w:div w:id="829323370">
                                  <w:marLeft w:val="-375"/>
                                  <w:marRight w:val="-375"/>
                                  <w:marTop w:val="0"/>
                                  <w:marBottom w:val="0"/>
                                  <w:divBdr>
                                    <w:top w:val="none" w:sz="0" w:space="0" w:color="auto"/>
                                    <w:left w:val="none" w:sz="0" w:space="0" w:color="auto"/>
                                    <w:bottom w:val="none" w:sz="0" w:space="0" w:color="auto"/>
                                    <w:right w:val="none" w:sz="0" w:space="0" w:color="auto"/>
                                  </w:divBdr>
                                  <w:divsChild>
                                    <w:div w:id="610481217">
                                      <w:marLeft w:val="0"/>
                                      <w:marRight w:val="0"/>
                                      <w:marTop w:val="0"/>
                                      <w:marBottom w:val="0"/>
                                      <w:divBdr>
                                        <w:top w:val="none" w:sz="0" w:space="0" w:color="auto"/>
                                        <w:left w:val="none" w:sz="0" w:space="0" w:color="auto"/>
                                        <w:bottom w:val="none" w:sz="0" w:space="0" w:color="auto"/>
                                        <w:right w:val="none" w:sz="0" w:space="0" w:color="auto"/>
                                      </w:divBdr>
                                      <w:divsChild>
                                        <w:div w:id="2024623617">
                                          <w:marLeft w:val="0"/>
                                          <w:marRight w:val="0"/>
                                          <w:marTop w:val="0"/>
                                          <w:marBottom w:val="0"/>
                                          <w:divBdr>
                                            <w:top w:val="none" w:sz="0" w:space="0" w:color="auto"/>
                                            <w:left w:val="none" w:sz="0" w:space="0" w:color="auto"/>
                                            <w:bottom w:val="none" w:sz="0" w:space="0" w:color="auto"/>
                                            <w:right w:val="none" w:sz="0" w:space="0" w:color="auto"/>
                                          </w:divBdr>
                                          <w:divsChild>
                                            <w:div w:id="841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879346">
      <w:bodyDiv w:val="1"/>
      <w:marLeft w:val="0"/>
      <w:marRight w:val="0"/>
      <w:marTop w:val="0"/>
      <w:marBottom w:val="0"/>
      <w:divBdr>
        <w:top w:val="none" w:sz="0" w:space="0" w:color="auto"/>
        <w:left w:val="none" w:sz="0" w:space="0" w:color="auto"/>
        <w:bottom w:val="none" w:sz="0" w:space="0" w:color="auto"/>
        <w:right w:val="none" w:sz="0" w:space="0" w:color="auto"/>
      </w:divBdr>
    </w:div>
    <w:div w:id="183260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FC92-CE1B-4AB0-97B3-71191AA3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Memo template</vt:lpstr>
    </vt:vector>
  </TitlesOfParts>
  <Company>FWTAO</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creator>Kathy Pigeon</dc:creator>
  <cp:lastModifiedBy>Lisa</cp:lastModifiedBy>
  <cp:revision>57</cp:revision>
  <cp:lastPrinted>2018-04-05T16:24:00Z</cp:lastPrinted>
  <dcterms:created xsi:type="dcterms:W3CDTF">2018-04-12T22:36:00Z</dcterms:created>
  <dcterms:modified xsi:type="dcterms:W3CDTF">2018-04-13T11:39:00Z</dcterms:modified>
</cp:coreProperties>
</file>