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8CAD" w14:textId="77777777" w:rsidR="001025E2" w:rsidRPr="00113777" w:rsidRDefault="001025E2" w:rsidP="001025E2">
      <w:pPr>
        <w:spacing w:after="120"/>
        <w:rPr>
          <w:sz w:val="52"/>
          <w:szCs w:val="52"/>
        </w:rPr>
      </w:pPr>
      <w:bookmarkStart w:id="0" w:name="_Toc531306920"/>
      <w:bookmarkStart w:id="1" w:name="_Toc533062038"/>
      <w:bookmarkStart w:id="2" w:name="_Toc534620315"/>
      <w:bookmarkStart w:id="3" w:name="_Toc534964378"/>
      <w:r w:rsidRPr="00113777">
        <w:rPr>
          <w:rFonts w:ascii="Arial" w:hAnsi="Arial" w:cs="Arial"/>
          <w:sz w:val="52"/>
          <w:szCs w:val="52"/>
        </w:rPr>
        <w:t xml:space="preserve">ETFO Submission – Human Rights Complaint Procedures in Ontario School Boards </w:t>
      </w:r>
    </w:p>
    <w:p w14:paraId="496920B7" w14:textId="77777777" w:rsidR="001025E2" w:rsidRPr="00113777" w:rsidRDefault="001025E2" w:rsidP="001025E2">
      <w:pPr>
        <w:spacing w:before="93" w:line="249" w:lineRule="auto"/>
        <w:ind w:left="115" w:right="4412"/>
        <w:rPr>
          <w:rFonts w:ascii="Arial" w:hAnsi="Arial" w:cs="Arial"/>
          <w:b/>
          <w:sz w:val="52"/>
          <w:szCs w:val="52"/>
        </w:rPr>
      </w:pPr>
    </w:p>
    <w:p w14:paraId="13234B25" w14:textId="77777777" w:rsidR="001025E2" w:rsidRPr="00113777" w:rsidRDefault="001025E2">
      <w:pPr>
        <w:spacing w:before="93" w:line="249" w:lineRule="auto"/>
        <w:ind w:left="115" w:right="4412"/>
        <w:rPr>
          <w:rFonts w:ascii="Arial" w:hAnsi="Arial" w:cs="Arial"/>
          <w:b/>
          <w:sz w:val="24"/>
          <w:szCs w:val="24"/>
        </w:rPr>
      </w:pPr>
    </w:p>
    <w:p w14:paraId="7BB24759" w14:textId="6118E558" w:rsidR="000255A2" w:rsidRPr="00113777" w:rsidRDefault="000255A2">
      <w:pPr>
        <w:spacing w:before="93" w:line="249" w:lineRule="auto"/>
        <w:ind w:left="115" w:right="4412"/>
        <w:rPr>
          <w:rFonts w:ascii="Arial" w:hAnsi="Arial" w:cs="Arial"/>
          <w:b/>
          <w:sz w:val="24"/>
          <w:szCs w:val="24"/>
          <w:lang w:val="fr-CA"/>
        </w:rPr>
      </w:pPr>
      <w:r w:rsidRPr="00113777">
        <w:rPr>
          <w:rFonts w:ascii="Arial" w:hAnsi="Arial" w:cs="Arial"/>
          <w:b/>
          <w:sz w:val="24"/>
          <w:szCs w:val="24"/>
          <w:lang w:val="fr-CA"/>
        </w:rPr>
        <w:t>Elementary Teachers’ Federation of Ontario Fédération des enseignantes et des enseignants de l’élémentaire de l’Ontario</w:t>
      </w:r>
    </w:p>
    <w:p w14:paraId="01680D4F" w14:textId="77777777" w:rsidR="000255A2" w:rsidRPr="00113777" w:rsidRDefault="000255A2">
      <w:pPr>
        <w:pStyle w:val="BodyText"/>
        <w:rPr>
          <w:b/>
          <w:sz w:val="24"/>
          <w:szCs w:val="24"/>
          <w:lang w:val="fr-CA"/>
        </w:rPr>
      </w:pPr>
    </w:p>
    <w:p w14:paraId="0FD33970" w14:textId="77777777" w:rsidR="000255A2" w:rsidRPr="00113777" w:rsidRDefault="000255A2">
      <w:pPr>
        <w:pStyle w:val="BodyText"/>
        <w:rPr>
          <w:b/>
          <w:sz w:val="24"/>
          <w:szCs w:val="24"/>
          <w:lang w:val="fr-CA"/>
        </w:rPr>
      </w:pPr>
    </w:p>
    <w:p w14:paraId="354F37D6" w14:textId="77777777" w:rsidR="000255A2" w:rsidRPr="00113777" w:rsidRDefault="000255A2" w:rsidP="00371BDD">
      <w:pPr>
        <w:pStyle w:val="BodyText"/>
        <w:ind w:left="115" w:right="3673"/>
        <w:rPr>
          <w:sz w:val="24"/>
          <w:szCs w:val="24"/>
        </w:rPr>
      </w:pPr>
      <w:r w:rsidRPr="00113777">
        <w:rPr>
          <w:sz w:val="24"/>
          <w:szCs w:val="24"/>
        </w:rPr>
        <w:t xml:space="preserve">The union represents 83,000 elementary public school teachers, occasional </w:t>
      </w:r>
      <w:proofErr w:type="gramStart"/>
      <w:r w:rsidRPr="00113777">
        <w:rPr>
          <w:sz w:val="24"/>
          <w:szCs w:val="24"/>
        </w:rPr>
        <w:t>teachers</w:t>
      </w:r>
      <w:proofErr w:type="gramEnd"/>
      <w:r w:rsidRPr="00113777">
        <w:rPr>
          <w:sz w:val="24"/>
          <w:szCs w:val="24"/>
        </w:rPr>
        <w:t xml:space="preserve"> and education professionals across the province. Its Building Better Schools education agenda can be viewed at </w:t>
      </w:r>
      <w:r w:rsidRPr="00113777">
        <w:rPr>
          <w:b/>
          <w:sz w:val="24"/>
          <w:szCs w:val="24"/>
        </w:rPr>
        <w:t>BuildingBetterSchools.ca</w:t>
      </w:r>
      <w:r w:rsidRPr="00113777">
        <w:rPr>
          <w:sz w:val="24"/>
          <w:szCs w:val="24"/>
        </w:rPr>
        <w:t>.</w:t>
      </w:r>
    </w:p>
    <w:p w14:paraId="3B1DC9EC" w14:textId="77777777" w:rsidR="000255A2" w:rsidRPr="00113777" w:rsidRDefault="000255A2" w:rsidP="00371BDD">
      <w:pPr>
        <w:pStyle w:val="BodyText"/>
        <w:rPr>
          <w:sz w:val="24"/>
          <w:szCs w:val="24"/>
        </w:rPr>
      </w:pPr>
    </w:p>
    <w:p w14:paraId="00D83546" w14:textId="77777777" w:rsidR="00371BDD" w:rsidRPr="00113777" w:rsidRDefault="00371BDD" w:rsidP="00371BDD">
      <w:pPr>
        <w:pStyle w:val="BodyText"/>
        <w:rPr>
          <w:sz w:val="24"/>
          <w:szCs w:val="24"/>
        </w:rPr>
      </w:pPr>
    </w:p>
    <w:p w14:paraId="018061A6" w14:textId="77777777" w:rsidR="00371BDD" w:rsidRPr="00113777" w:rsidRDefault="000255A2" w:rsidP="00371BDD">
      <w:pPr>
        <w:pStyle w:val="BodyText"/>
        <w:ind w:left="115" w:right="3990"/>
        <w:rPr>
          <w:sz w:val="24"/>
          <w:szCs w:val="24"/>
        </w:rPr>
      </w:pPr>
      <w:r w:rsidRPr="00113777">
        <w:rPr>
          <w:sz w:val="24"/>
          <w:szCs w:val="24"/>
        </w:rPr>
        <w:t>Elementary Teachers' Federation of Ontario (ETFO)</w:t>
      </w:r>
    </w:p>
    <w:p w14:paraId="352EDF05" w14:textId="77777777" w:rsidR="000255A2" w:rsidRPr="00113777" w:rsidRDefault="000255A2" w:rsidP="00371BDD">
      <w:pPr>
        <w:pStyle w:val="BodyText"/>
        <w:ind w:left="115" w:right="3990"/>
        <w:rPr>
          <w:sz w:val="24"/>
          <w:szCs w:val="24"/>
        </w:rPr>
      </w:pPr>
      <w:r w:rsidRPr="00113777">
        <w:rPr>
          <w:sz w:val="24"/>
          <w:szCs w:val="24"/>
        </w:rPr>
        <w:t>136 Isabella Street, Toronto, ON M4Y 0B5</w:t>
      </w:r>
    </w:p>
    <w:p w14:paraId="622E8D41" w14:textId="77777777" w:rsidR="000255A2" w:rsidRPr="00113777" w:rsidRDefault="000255A2" w:rsidP="00371BDD">
      <w:pPr>
        <w:pStyle w:val="BodyText"/>
        <w:ind w:left="115"/>
        <w:rPr>
          <w:sz w:val="24"/>
          <w:szCs w:val="24"/>
        </w:rPr>
      </w:pPr>
      <w:r w:rsidRPr="00113777">
        <w:rPr>
          <w:sz w:val="24"/>
          <w:szCs w:val="24"/>
        </w:rPr>
        <w:t>416-962-3836 or 1-888-838-3836</w:t>
      </w:r>
    </w:p>
    <w:p w14:paraId="2EEDDE47" w14:textId="77777777" w:rsidR="000255A2" w:rsidRPr="00113777" w:rsidRDefault="000255A2" w:rsidP="00371BDD">
      <w:pPr>
        <w:pStyle w:val="BodyText"/>
        <w:ind w:left="115"/>
        <w:rPr>
          <w:sz w:val="24"/>
          <w:szCs w:val="24"/>
        </w:rPr>
      </w:pPr>
      <w:r w:rsidRPr="00113777">
        <w:rPr>
          <w:sz w:val="24"/>
          <w:szCs w:val="24"/>
        </w:rPr>
        <w:t>etfo.ca</w:t>
      </w:r>
    </w:p>
    <w:p w14:paraId="76751BE9" w14:textId="77777777" w:rsidR="000255A2" w:rsidRPr="00113777" w:rsidRDefault="000255A2">
      <w:pPr>
        <w:pStyle w:val="BodyText"/>
        <w:rPr>
          <w:sz w:val="24"/>
          <w:szCs w:val="24"/>
        </w:rPr>
      </w:pPr>
    </w:p>
    <w:p w14:paraId="05BCBCD9" w14:textId="77777777" w:rsidR="000255A2" w:rsidRPr="00113777" w:rsidRDefault="000255A2">
      <w:pPr>
        <w:pStyle w:val="BodyText"/>
        <w:spacing w:before="7"/>
        <w:rPr>
          <w:sz w:val="24"/>
          <w:szCs w:val="24"/>
        </w:rPr>
      </w:pPr>
    </w:p>
    <w:p w14:paraId="57035409" w14:textId="77777777" w:rsidR="00125FEC" w:rsidRPr="00113777" w:rsidRDefault="000255A2" w:rsidP="00125FEC">
      <w:pPr>
        <w:pStyle w:val="BodyText"/>
        <w:spacing w:before="93"/>
        <w:ind w:left="116"/>
        <w:rPr>
          <w:sz w:val="24"/>
          <w:szCs w:val="24"/>
        </w:rPr>
      </w:pPr>
      <w:r w:rsidRPr="00113777">
        <w:rPr>
          <w:sz w:val="24"/>
          <w:szCs w:val="24"/>
        </w:rPr>
        <w:t>Follow us online at:</w:t>
      </w:r>
    </w:p>
    <w:p w14:paraId="28E9D527" w14:textId="5DA831D7" w:rsidR="00125FEC" w:rsidRPr="00113777" w:rsidRDefault="0024565A" w:rsidP="00125FEC">
      <w:pPr>
        <w:pStyle w:val="BodyText"/>
        <w:spacing w:before="93"/>
        <w:ind w:left="116"/>
        <w:rPr>
          <w:sz w:val="24"/>
          <w:szCs w:val="24"/>
        </w:rPr>
      </w:pPr>
      <w:r>
        <w:rPr>
          <w:sz w:val="24"/>
          <w:szCs w:val="24"/>
        </w:rPr>
        <w:t xml:space="preserve">Facebook: </w:t>
      </w:r>
      <w:r w:rsidR="000255A2" w:rsidRPr="00113777">
        <w:rPr>
          <w:sz w:val="24"/>
          <w:szCs w:val="24"/>
        </w:rPr>
        <w:t>ETFOprovincialoffice</w:t>
      </w:r>
    </w:p>
    <w:p w14:paraId="301C56D7" w14:textId="2A5EDD02" w:rsidR="000255A2" w:rsidRPr="00113777" w:rsidRDefault="0024565A" w:rsidP="00125FEC">
      <w:pPr>
        <w:pStyle w:val="BodyText"/>
        <w:spacing w:before="93"/>
        <w:ind w:left="116"/>
        <w:rPr>
          <w:sz w:val="24"/>
          <w:szCs w:val="24"/>
        </w:rPr>
      </w:pPr>
      <w:r>
        <w:rPr>
          <w:sz w:val="24"/>
          <w:szCs w:val="24"/>
        </w:rPr>
        <w:t xml:space="preserve">Twitter: </w:t>
      </w:r>
      <w:r w:rsidR="000255A2" w:rsidRPr="00113777">
        <w:rPr>
          <w:sz w:val="24"/>
          <w:szCs w:val="24"/>
        </w:rPr>
        <w:t>@ETFOeducators</w:t>
      </w:r>
    </w:p>
    <w:p w14:paraId="4A3C4ED2" w14:textId="77777777" w:rsidR="000255A2" w:rsidRPr="00113777" w:rsidRDefault="000255A2">
      <w:pPr>
        <w:pStyle w:val="BodyText"/>
        <w:spacing w:before="10"/>
        <w:rPr>
          <w:sz w:val="24"/>
          <w:szCs w:val="24"/>
        </w:rPr>
      </w:pPr>
    </w:p>
    <w:p w14:paraId="06A8AA88" w14:textId="77777777" w:rsidR="000255A2" w:rsidRPr="00113777" w:rsidRDefault="000255A2">
      <w:pPr>
        <w:pStyle w:val="BodyText"/>
        <w:spacing w:before="1"/>
        <w:ind w:left="115"/>
        <w:rPr>
          <w:sz w:val="24"/>
          <w:szCs w:val="24"/>
        </w:rPr>
      </w:pPr>
      <w:r w:rsidRPr="00113777">
        <w:rPr>
          <w:sz w:val="24"/>
          <w:szCs w:val="24"/>
        </w:rPr>
        <w:t xml:space="preserve">Copyright © </w:t>
      </w:r>
      <w:r w:rsidR="0037731F" w:rsidRPr="00113777">
        <w:rPr>
          <w:sz w:val="24"/>
          <w:szCs w:val="24"/>
        </w:rPr>
        <w:t>July 2021</w:t>
      </w:r>
      <w:r w:rsidRPr="00113777">
        <w:rPr>
          <w:sz w:val="24"/>
          <w:szCs w:val="24"/>
        </w:rPr>
        <w:t xml:space="preserve"> by ETFO</w:t>
      </w:r>
    </w:p>
    <w:p w14:paraId="0FA2C786" w14:textId="77777777" w:rsidR="00B01A15" w:rsidRPr="00113777" w:rsidRDefault="00B01A15" w:rsidP="00A7570B">
      <w:pPr>
        <w:pStyle w:val="Heading1"/>
        <w:sectPr w:rsidR="00B01A15" w:rsidRPr="00113777" w:rsidSect="00E11D2B">
          <w:headerReference w:type="first" r:id="rId11"/>
          <w:footerReference w:type="first" r:id="rId12"/>
          <w:pgSz w:w="12240" w:h="15840"/>
          <w:pgMar w:top="1871" w:right="1140" w:bottom="1701" w:left="1412" w:header="0" w:footer="709" w:gutter="0"/>
          <w:pgNumType w:start="2"/>
          <w:cols w:space="708"/>
          <w:docGrid w:linePitch="360"/>
        </w:sectPr>
      </w:pPr>
    </w:p>
    <w:p w14:paraId="68534162" w14:textId="77777777" w:rsidR="00113777" w:rsidRPr="00113777" w:rsidRDefault="005B4D2E">
      <w:pPr>
        <w:pStyle w:val="TOC1"/>
        <w:tabs>
          <w:tab w:val="right" w:leader="dot" w:pos="9678"/>
        </w:tabs>
      </w:pPr>
      <w:bookmarkStart w:id="4" w:name="_Toc29508452"/>
      <w:bookmarkStart w:id="5" w:name="_Toc29555927"/>
      <w:bookmarkStart w:id="6" w:name="_Toc29566116"/>
      <w:bookmarkStart w:id="7" w:name="_Toc29568773"/>
      <w:bookmarkStart w:id="8" w:name="_Toc67643113"/>
      <w:bookmarkStart w:id="9" w:name="_Toc77766237"/>
      <w:bookmarkStart w:id="10" w:name="_Toc57665742"/>
      <w:r w:rsidRPr="00113777">
        <w:lastRenderedPageBreak/>
        <w:t>TABLE OF CONTENTS</w:t>
      </w:r>
      <w:bookmarkEnd w:id="0"/>
      <w:bookmarkEnd w:id="1"/>
      <w:bookmarkEnd w:id="2"/>
      <w:bookmarkEnd w:id="3"/>
      <w:bookmarkEnd w:id="4"/>
      <w:bookmarkEnd w:id="5"/>
      <w:bookmarkEnd w:id="6"/>
      <w:bookmarkEnd w:id="7"/>
      <w:bookmarkEnd w:id="8"/>
      <w:bookmarkEnd w:id="9"/>
    </w:p>
    <w:p w14:paraId="6F4A4F9C" w14:textId="77777777" w:rsidR="00113777" w:rsidRPr="00113777" w:rsidRDefault="00113777">
      <w:pPr>
        <w:pStyle w:val="TOC1"/>
        <w:tabs>
          <w:tab w:val="right" w:leader="dot" w:pos="9678"/>
        </w:tabs>
      </w:pPr>
    </w:p>
    <w:p w14:paraId="28F55AC8" w14:textId="5D004B01" w:rsidR="00E871CD" w:rsidRPr="00113777" w:rsidRDefault="006757FF">
      <w:pPr>
        <w:pStyle w:val="TOC1"/>
        <w:tabs>
          <w:tab w:val="right" w:leader="dot" w:pos="9678"/>
        </w:tabs>
        <w:rPr>
          <w:noProof/>
        </w:rPr>
      </w:pPr>
      <w:r w:rsidRPr="00113777">
        <w:rPr>
          <w:rFonts w:ascii="Arial" w:eastAsiaTheme="majorEastAsia" w:hAnsi="Arial" w:cstheme="majorBidi"/>
          <w:b/>
          <w:bCs/>
          <w:sz w:val="26"/>
          <w:szCs w:val="28"/>
          <w:highlight w:val="yellow"/>
          <w:lang w:val="en-US"/>
        </w:rPr>
        <w:fldChar w:fldCharType="begin"/>
      </w:r>
      <w:r w:rsidRPr="00113777">
        <w:rPr>
          <w:highlight w:val="yellow"/>
        </w:rPr>
        <w:instrText xml:space="preserve"> TOC \o "1-1" \h \z \u </w:instrText>
      </w:r>
      <w:r w:rsidRPr="00113777">
        <w:rPr>
          <w:rFonts w:ascii="Arial" w:eastAsiaTheme="majorEastAsia" w:hAnsi="Arial" w:cstheme="majorBidi"/>
          <w:b/>
          <w:bCs/>
          <w:sz w:val="26"/>
          <w:szCs w:val="28"/>
          <w:highlight w:val="yellow"/>
          <w:lang w:val="en-US"/>
        </w:rPr>
        <w:fldChar w:fldCharType="separate"/>
      </w:r>
    </w:p>
    <w:bookmarkEnd w:id="10"/>
    <w:p w14:paraId="42D0DD45" w14:textId="451CD17F" w:rsidR="00E871CD" w:rsidRPr="00113777" w:rsidRDefault="00E871CD">
      <w:pPr>
        <w:pStyle w:val="TOC1"/>
        <w:tabs>
          <w:tab w:val="right" w:leader="dot" w:pos="9678"/>
        </w:tabs>
        <w:rPr>
          <w:rFonts w:eastAsiaTheme="minorEastAsia"/>
          <w:noProof/>
          <w:lang w:eastAsia="en-CA"/>
        </w:rPr>
      </w:pPr>
      <w:r w:rsidRPr="00113777">
        <w:rPr>
          <w:rStyle w:val="Hyperlink"/>
          <w:noProof/>
          <w:color w:val="auto"/>
        </w:rPr>
        <w:fldChar w:fldCharType="begin"/>
      </w:r>
      <w:r w:rsidRPr="00113777">
        <w:rPr>
          <w:rStyle w:val="Hyperlink"/>
          <w:noProof/>
          <w:color w:val="auto"/>
        </w:rPr>
        <w:instrText xml:space="preserve"> </w:instrText>
      </w:r>
      <w:r w:rsidRPr="00113777">
        <w:rPr>
          <w:noProof/>
        </w:rPr>
        <w:instrText>HYPERLINK \l "_Toc77934718"</w:instrText>
      </w:r>
      <w:r w:rsidRPr="00113777">
        <w:rPr>
          <w:rStyle w:val="Hyperlink"/>
          <w:noProof/>
          <w:color w:val="auto"/>
        </w:rPr>
        <w:instrText xml:space="preserve"> </w:instrText>
      </w:r>
      <w:r w:rsidRPr="00113777">
        <w:rPr>
          <w:rStyle w:val="Hyperlink"/>
          <w:noProof/>
          <w:color w:val="auto"/>
        </w:rPr>
        <w:fldChar w:fldCharType="separate"/>
      </w:r>
      <w:r w:rsidRPr="00113777">
        <w:rPr>
          <w:rStyle w:val="Hyperlink"/>
          <w:noProof/>
          <w:color w:val="auto"/>
        </w:rPr>
        <w:t>INTRODUCTION</w:t>
      </w:r>
      <w:r w:rsidRPr="00113777">
        <w:rPr>
          <w:noProof/>
          <w:webHidden/>
        </w:rPr>
        <w:tab/>
      </w:r>
      <w:r w:rsidRPr="00113777">
        <w:rPr>
          <w:noProof/>
          <w:webHidden/>
        </w:rPr>
        <w:fldChar w:fldCharType="begin"/>
      </w:r>
      <w:r w:rsidRPr="00113777">
        <w:rPr>
          <w:noProof/>
          <w:webHidden/>
        </w:rPr>
        <w:instrText xml:space="preserve"> PAGEREF _Toc77934718 \h </w:instrText>
      </w:r>
      <w:r w:rsidRPr="00113777">
        <w:rPr>
          <w:noProof/>
          <w:webHidden/>
        </w:rPr>
      </w:r>
      <w:r w:rsidRPr="00113777">
        <w:rPr>
          <w:noProof/>
          <w:webHidden/>
        </w:rPr>
        <w:fldChar w:fldCharType="separate"/>
      </w:r>
      <w:r w:rsidR="002714C6">
        <w:rPr>
          <w:noProof/>
          <w:webHidden/>
        </w:rPr>
        <w:t>2</w:t>
      </w:r>
      <w:r w:rsidRPr="00113777">
        <w:rPr>
          <w:noProof/>
          <w:webHidden/>
        </w:rPr>
        <w:fldChar w:fldCharType="end"/>
      </w:r>
      <w:r w:rsidRPr="00113777">
        <w:rPr>
          <w:rStyle w:val="Hyperlink"/>
          <w:noProof/>
          <w:color w:val="auto"/>
        </w:rPr>
        <w:fldChar w:fldCharType="end"/>
      </w:r>
    </w:p>
    <w:p w14:paraId="61C589B7" w14:textId="5E7EE38A" w:rsidR="00E871CD" w:rsidRPr="00113777" w:rsidRDefault="00932871">
      <w:pPr>
        <w:pStyle w:val="TOC1"/>
        <w:tabs>
          <w:tab w:val="right" w:leader="dot" w:pos="9678"/>
        </w:tabs>
        <w:rPr>
          <w:rFonts w:eastAsiaTheme="minorEastAsia"/>
          <w:noProof/>
          <w:lang w:eastAsia="en-CA"/>
        </w:rPr>
      </w:pPr>
      <w:hyperlink w:anchor="_Toc77934719" w:history="1">
        <w:r w:rsidR="00E871CD" w:rsidRPr="00113777">
          <w:rPr>
            <w:rStyle w:val="Hyperlink"/>
            <w:noProof/>
            <w:color w:val="auto"/>
          </w:rPr>
          <w:t>The Limits of Complaint Procedures</w:t>
        </w:r>
        <w:r w:rsidR="00E871CD" w:rsidRPr="00113777">
          <w:rPr>
            <w:noProof/>
            <w:webHidden/>
          </w:rPr>
          <w:tab/>
        </w:r>
        <w:r w:rsidR="00E871CD" w:rsidRPr="00113777">
          <w:rPr>
            <w:noProof/>
            <w:webHidden/>
          </w:rPr>
          <w:fldChar w:fldCharType="begin"/>
        </w:r>
        <w:r w:rsidR="00E871CD" w:rsidRPr="00113777">
          <w:rPr>
            <w:noProof/>
            <w:webHidden/>
          </w:rPr>
          <w:instrText xml:space="preserve"> PAGEREF _Toc77934719 \h </w:instrText>
        </w:r>
        <w:r w:rsidR="00E871CD" w:rsidRPr="00113777">
          <w:rPr>
            <w:noProof/>
            <w:webHidden/>
          </w:rPr>
        </w:r>
        <w:r w:rsidR="00E871CD" w:rsidRPr="00113777">
          <w:rPr>
            <w:noProof/>
            <w:webHidden/>
          </w:rPr>
          <w:fldChar w:fldCharType="separate"/>
        </w:r>
        <w:r w:rsidR="002714C6">
          <w:rPr>
            <w:noProof/>
            <w:webHidden/>
          </w:rPr>
          <w:t>4</w:t>
        </w:r>
        <w:r w:rsidR="00E871CD" w:rsidRPr="00113777">
          <w:rPr>
            <w:noProof/>
            <w:webHidden/>
          </w:rPr>
          <w:fldChar w:fldCharType="end"/>
        </w:r>
      </w:hyperlink>
    </w:p>
    <w:p w14:paraId="72410FAA" w14:textId="7A6A71A3" w:rsidR="00E871CD" w:rsidRPr="00113777" w:rsidRDefault="00932871">
      <w:pPr>
        <w:pStyle w:val="TOC1"/>
        <w:tabs>
          <w:tab w:val="right" w:leader="dot" w:pos="9678"/>
        </w:tabs>
        <w:rPr>
          <w:rFonts w:eastAsiaTheme="minorEastAsia"/>
          <w:noProof/>
          <w:lang w:eastAsia="en-CA"/>
        </w:rPr>
      </w:pPr>
      <w:hyperlink w:anchor="_Toc77934720" w:history="1">
        <w:r w:rsidR="00E871CD" w:rsidRPr="00113777">
          <w:rPr>
            <w:rStyle w:val="Hyperlink"/>
            <w:noProof/>
            <w:color w:val="auto"/>
          </w:rPr>
          <w:t>Complaint Procedures: Indigenous Perspective</w:t>
        </w:r>
        <w:r w:rsidR="00E871CD" w:rsidRPr="00113777">
          <w:rPr>
            <w:noProof/>
            <w:webHidden/>
          </w:rPr>
          <w:tab/>
        </w:r>
        <w:r w:rsidR="00E871CD" w:rsidRPr="00113777">
          <w:rPr>
            <w:noProof/>
            <w:webHidden/>
          </w:rPr>
          <w:fldChar w:fldCharType="begin"/>
        </w:r>
        <w:r w:rsidR="00E871CD" w:rsidRPr="00113777">
          <w:rPr>
            <w:noProof/>
            <w:webHidden/>
          </w:rPr>
          <w:instrText xml:space="preserve"> PAGEREF _Toc77934720 \h </w:instrText>
        </w:r>
        <w:r w:rsidR="00E871CD" w:rsidRPr="00113777">
          <w:rPr>
            <w:noProof/>
            <w:webHidden/>
          </w:rPr>
        </w:r>
        <w:r w:rsidR="00E871CD" w:rsidRPr="00113777">
          <w:rPr>
            <w:noProof/>
            <w:webHidden/>
          </w:rPr>
          <w:fldChar w:fldCharType="separate"/>
        </w:r>
        <w:r w:rsidR="002714C6">
          <w:rPr>
            <w:noProof/>
            <w:webHidden/>
          </w:rPr>
          <w:t>8</w:t>
        </w:r>
        <w:r w:rsidR="00E871CD" w:rsidRPr="00113777">
          <w:rPr>
            <w:noProof/>
            <w:webHidden/>
          </w:rPr>
          <w:fldChar w:fldCharType="end"/>
        </w:r>
      </w:hyperlink>
    </w:p>
    <w:p w14:paraId="4502D2F6" w14:textId="79C28C0A" w:rsidR="00E871CD" w:rsidRPr="00113777" w:rsidRDefault="00932871">
      <w:pPr>
        <w:pStyle w:val="TOC1"/>
        <w:tabs>
          <w:tab w:val="right" w:leader="dot" w:pos="9678"/>
        </w:tabs>
        <w:rPr>
          <w:rFonts w:eastAsiaTheme="minorEastAsia"/>
          <w:noProof/>
          <w:lang w:eastAsia="en-CA"/>
        </w:rPr>
      </w:pPr>
      <w:hyperlink w:anchor="_Toc77934721" w:history="1">
        <w:r w:rsidR="00E871CD" w:rsidRPr="00113777">
          <w:rPr>
            <w:rStyle w:val="Hyperlink"/>
            <w:noProof/>
            <w:color w:val="auto"/>
          </w:rPr>
          <w:t>Complaint Procedures: ETFO Experience</w:t>
        </w:r>
        <w:r w:rsidR="00E871CD" w:rsidRPr="00113777">
          <w:rPr>
            <w:noProof/>
            <w:webHidden/>
          </w:rPr>
          <w:tab/>
        </w:r>
        <w:r w:rsidR="00E871CD" w:rsidRPr="00113777">
          <w:rPr>
            <w:noProof/>
            <w:webHidden/>
          </w:rPr>
          <w:fldChar w:fldCharType="begin"/>
        </w:r>
        <w:r w:rsidR="00E871CD" w:rsidRPr="00113777">
          <w:rPr>
            <w:noProof/>
            <w:webHidden/>
          </w:rPr>
          <w:instrText xml:space="preserve"> PAGEREF _Toc77934721 \h </w:instrText>
        </w:r>
        <w:r w:rsidR="00E871CD" w:rsidRPr="00113777">
          <w:rPr>
            <w:noProof/>
            <w:webHidden/>
          </w:rPr>
        </w:r>
        <w:r w:rsidR="00E871CD" w:rsidRPr="00113777">
          <w:rPr>
            <w:noProof/>
            <w:webHidden/>
          </w:rPr>
          <w:fldChar w:fldCharType="separate"/>
        </w:r>
        <w:r w:rsidR="002714C6">
          <w:rPr>
            <w:noProof/>
            <w:webHidden/>
          </w:rPr>
          <w:t>12</w:t>
        </w:r>
        <w:r w:rsidR="00E871CD" w:rsidRPr="00113777">
          <w:rPr>
            <w:noProof/>
            <w:webHidden/>
          </w:rPr>
          <w:fldChar w:fldCharType="end"/>
        </w:r>
      </w:hyperlink>
    </w:p>
    <w:p w14:paraId="1863F7EB" w14:textId="01A5EC27" w:rsidR="00E871CD" w:rsidRPr="00113777" w:rsidRDefault="00932871">
      <w:pPr>
        <w:pStyle w:val="TOC1"/>
        <w:tabs>
          <w:tab w:val="right" w:leader="dot" w:pos="9678"/>
        </w:tabs>
        <w:rPr>
          <w:rFonts w:eastAsiaTheme="minorEastAsia"/>
          <w:noProof/>
          <w:lang w:eastAsia="en-CA"/>
        </w:rPr>
      </w:pPr>
      <w:hyperlink w:anchor="_Toc77934722" w:history="1">
        <w:r w:rsidR="00E871CD" w:rsidRPr="00113777">
          <w:rPr>
            <w:rStyle w:val="Hyperlink"/>
            <w:noProof/>
            <w:color w:val="auto"/>
          </w:rPr>
          <w:t>Complaint Processes for Students</w:t>
        </w:r>
        <w:r w:rsidR="00E871CD" w:rsidRPr="00113777">
          <w:rPr>
            <w:noProof/>
            <w:webHidden/>
          </w:rPr>
          <w:tab/>
        </w:r>
        <w:r w:rsidR="00E871CD" w:rsidRPr="00113777">
          <w:rPr>
            <w:noProof/>
            <w:webHidden/>
          </w:rPr>
          <w:fldChar w:fldCharType="begin"/>
        </w:r>
        <w:r w:rsidR="00E871CD" w:rsidRPr="00113777">
          <w:rPr>
            <w:noProof/>
            <w:webHidden/>
          </w:rPr>
          <w:instrText xml:space="preserve"> PAGEREF _Toc77934722 \h </w:instrText>
        </w:r>
        <w:r w:rsidR="00E871CD" w:rsidRPr="00113777">
          <w:rPr>
            <w:noProof/>
            <w:webHidden/>
          </w:rPr>
        </w:r>
        <w:r w:rsidR="00E871CD" w:rsidRPr="00113777">
          <w:rPr>
            <w:noProof/>
            <w:webHidden/>
          </w:rPr>
          <w:fldChar w:fldCharType="separate"/>
        </w:r>
        <w:r w:rsidR="002714C6">
          <w:rPr>
            <w:noProof/>
            <w:webHidden/>
          </w:rPr>
          <w:t>17</w:t>
        </w:r>
        <w:r w:rsidR="00E871CD" w:rsidRPr="00113777">
          <w:rPr>
            <w:noProof/>
            <w:webHidden/>
          </w:rPr>
          <w:fldChar w:fldCharType="end"/>
        </w:r>
      </w:hyperlink>
    </w:p>
    <w:p w14:paraId="4E2AAFF6" w14:textId="64A504B8" w:rsidR="00E871CD" w:rsidRPr="00113777" w:rsidRDefault="00932871">
      <w:pPr>
        <w:pStyle w:val="TOC1"/>
        <w:tabs>
          <w:tab w:val="right" w:leader="dot" w:pos="9678"/>
        </w:tabs>
        <w:rPr>
          <w:rFonts w:eastAsiaTheme="minorEastAsia"/>
          <w:noProof/>
          <w:lang w:eastAsia="en-CA"/>
        </w:rPr>
      </w:pPr>
      <w:hyperlink w:anchor="_Toc77934723" w:history="1">
        <w:r w:rsidR="00E871CD" w:rsidRPr="00113777">
          <w:rPr>
            <w:rStyle w:val="Hyperlink"/>
            <w:noProof/>
            <w:color w:val="auto"/>
          </w:rPr>
          <w:t>Conclusion</w:t>
        </w:r>
        <w:r w:rsidR="00E871CD" w:rsidRPr="00113777">
          <w:rPr>
            <w:noProof/>
            <w:webHidden/>
          </w:rPr>
          <w:tab/>
        </w:r>
        <w:r w:rsidR="00E871CD" w:rsidRPr="00113777">
          <w:rPr>
            <w:noProof/>
            <w:webHidden/>
          </w:rPr>
          <w:fldChar w:fldCharType="begin"/>
        </w:r>
        <w:r w:rsidR="00E871CD" w:rsidRPr="00113777">
          <w:rPr>
            <w:noProof/>
            <w:webHidden/>
          </w:rPr>
          <w:instrText xml:space="preserve"> PAGEREF _Toc77934723 \h </w:instrText>
        </w:r>
        <w:r w:rsidR="00E871CD" w:rsidRPr="00113777">
          <w:rPr>
            <w:noProof/>
            <w:webHidden/>
          </w:rPr>
        </w:r>
        <w:r w:rsidR="00E871CD" w:rsidRPr="00113777">
          <w:rPr>
            <w:noProof/>
            <w:webHidden/>
          </w:rPr>
          <w:fldChar w:fldCharType="separate"/>
        </w:r>
        <w:r w:rsidR="002714C6">
          <w:rPr>
            <w:noProof/>
            <w:webHidden/>
          </w:rPr>
          <w:t>18</w:t>
        </w:r>
        <w:r w:rsidR="00E871CD" w:rsidRPr="00113777">
          <w:rPr>
            <w:noProof/>
            <w:webHidden/>
          </w:rPr>
          <w:fldChar w:fldCharType="end"/>
        </w:r>
      </w:hyperlink>
    </w:p>
    <w:p w14:paraId="56AD560B" w14:textId="2824B02B" w:rsidR="00E871CD" w:rsidRDefault="00932871">
      <w:pPr>
        <w:pStyle w:val="TOC1"/>
        <w:tabs>
          <w:tab w:val="right" w:leader="dot" w:pos="9678"/>
        </w:tabs>
        <w:rPr>
          <w:noProof/>
        </w:rPr>
      </w:pPr>
      <w:hyperlink w:anchor="_Toc77934724" w:history="1">
        <w:r w:rsidR="00E871CD" w:rsidRPr="00113777">
          <w:rPr>
            <w:rStyle w:val="Hyperlink"/>
            <w:noProof/>
            <w:color w:val="auto"/>
          </w:rPr>
          <w:t>Appendix A – Letter to Solicitor General and Minister of Education</w:t>
        </w:r>
        <w:r w:rsidR="00E871CD" w:rsidRPr="00113777">
          <w:rPr>
            <w:noProof/>
            <w:webHidden/>
          </w:rPr>
          <w:tab/>
        </w:r>
        <w:r w:rsidR="00E871CD" w:rsidRPr="00113777">
          <w:rPr>
            <w:noProof/>
            <w:webHidden/>
          </w:rPr>
          <w:fldChar w:fldCharType="begin"/>
        </w:r>
        <w:r w:rsidR="00E871CD" w:rsidRPr="00113777">
          <w:rPr>
            <w:noProof/>
            <w:webHidden/>
          </w:rPr>
          <w:instrText xml:space="preserve"> PAGEREF _Toc77934724 \h </w:instrText>
        </w:r>
        <w:r w:rsidR="00E871CD" w:rsidRPr="00113777">
          <w:rPr>
            <w:noProof/>
            <w:webHidden/>
          </w:rPr>
        </w:r>
        <w:r w:rsidR="00E871CD" w:rsidRPr="00113777">
          <w:rPr>
            <w:noProof/>
            <w:webHidden/>
          </w:rPr>
          <w:fldChar w:fldCharType="separate"/>
        </w:r>
        <w:r w:rsidR="002714C6">
          <w:rPr>
            <w:noProof/>
            <w:webHidden/>
          </w:rPr>
          <w:t>20</w:t>
        </w:r>
        <w:r w:rsidR="00E871CD" w:rsidRPr="00113777">
          <w:rPr>
            <w:noProof/>
            <w:webHidden/>
          </w:rPr>
          <w:fldChar w:fldCharType="end"/>
        </w:r>
      </w:hyperlink>
    </w:p>
    <w:p w14:paraId="03FBD7C6" w14:textId="6F91886A" w:rsidR="002714C6" w:rsidRDefault="002714C6" w:rsidP="002714C6">
      <w:pPr>
        <w:rPr>
          <w:noProof/>
        </w:rPr>
      </w:pPr>
    </w:p>
    <w:p w14:paraId="3D2B4145" w14:textId="77777777" w:rsidR="002714C6" w:rsidRPr="002714C6" w:rsidRDefault="002714C6" w:rsidP="002714C6">
      <w:pPr>
        <w:rPr>
          <w:noProof/>
        </w:rPr>
      </w:pPr>
    </w:p>
    <w:p w14:paraId="3F893468" w14:textId="0E5F21CB" w:rsidR="006757FF" w:rsidRPr="00113777" w:rsidRDefault="006757FF" w:rsidP="006757FF">
      <w:pPr>
        <w:rPr>
          <w:b/>
        </w:rPr>
      </w:pPr>
      <w:r w:rsidRPr="00113777">
        <w:rPr>
          <w:highlight w:val="yellow"/>
        </w:rPr>
        <w:fldChar w:fldCharType="end"/>
      </w:r>
    </w:p>
    <w:p w14:paraId="0DAC624F" w14:textId="77777777" w:rsidR="00A516D6" w:rsidRPr="00113777" w:rsidRDefault="00A516D6" w:rsidP="0085066D">
      <w:pPr>
        <w:sectPr w:rsidR="00A516D6" w:rsidRPr="00113777" w:rsidSect="00F452EB">
          <w:headerReference w:type="default" r:id="rId13"/>
          <w:footerReference w:type="default" r:id="rId14"/>
          <w:pgSz w:w="12240" w:h="15840"/>
          <w:pgMar w:top="1871" w:right="1140" w:bottom="1701" w:left="1412" w:header="0" w:footer="709" w:gutter="0"/>
          <w:pgNumType w:start="2"/>
          <w:cols w:space="708"/>
          <w:docGrid w:linePitch="360"/>
        </w:sectPr>
      </w:pPr>
      <w:bookmarkStart w:id="11" w:name="_Toc531306862"/>
      <w:bookmarkStart w:id="12" w:name="_Toc531306921"/>
    </w:p>
    <w:p w14:paraId="318B796C" w14:textId="77777777" w:rsidR="00113777" w:rsidRPr="00113777" w:rsidRDefault="00113777">
      <w:pPr>
        <w:rPr>
          <w:rFonts w:ascii="Arial" w:eastAsiaTheme="majorEastAsia" w:hAnsi="Arial" w:cstheme="majorBidi"/>
          <w:b/>
          <w:bCs/>
          <w:sz w:val="26"/>
          <w:szCs w:val="28"/>
          <w:lang w:val="en-US"/>
        </w:rPr>
      </w:pPr>
      <w:bookmarkStart w:id="13" w:name="_Toc534620316"/>
      <w:bookmarkStart w:id="14" w:name="_Toc77934718"/>
      <w:r w:rsidRPr="00113777">
        <w:br w:type="page"/>
      </w:r>
    </w:p>
    <w:p w14:paraId="29443316" w14:textId="057696FF" w:rsidR="009B3D6E" w:rsidRPr="00113777" w:rsidRDefault="00DB0FE8" w:rsidP="00A7570B">
      <w:pPr>
        <w:pStyle w:val="Heading1"/>
      </w:pPr>
      <w:r w:rsidRPr="00113777">
        <w:lastRenderedPageBreak/>
        <w:t>INTRODUCTION</w:t>
      </w:r>
      <w:bookmarkEnd w:id="11"/>
      <w:bookmarkEnd w:id="12"/>
      <w:bookmarkEnd w:id="13"/>
      <w:bookmarkEnd w:id="14"/>
    </w:p>
    <w:p w14:paraId="3868AA49" w14:textId="77777777" w:rsidR="0000349F" w:rsidRPr="00113777" w:rsidRDefault="0000349F" w:rsidP="0000349F">
      <w:pPr>
        <w:spacing w:line="480" w:lineRule="auto"/>
        <w:rPr>
          <w:rFonts w:ascii="Arial" w:hAnsi="Arial" w:cs="Arial"/>
        </w:rPr>
      </w:pPr>
      <w:r w:rsidRPr="00113777">
        <w:rPr>
          <w:rFonts w:ascii="Arial" w:hAnsi="Arial" w:cs="Arial"/>
        </w:rPr>
        <w:t>The Elementary Teachers’ Federation of Ontario (ETFO) represents 83,000 public elementary school teachers, occasional teachers, designated early childhood educators and education professionals across the province and is the largest teacher federation in Canada. ETFO is an important stakeholder in the public education system and appreciates the opportunity to provide feedback to the Ministry of Education on its proposed guidance to school boards on human rights complaint procedures.</w:t>
      </w:r>
    </w:p>
    <w:p w14:paraId="22597D73" w14:textId="4ED66A06" w:rsidR="00332B1C" w:rsidRPr="00113777" w:rsidRDefault="00F1267A" w:rsidP="004676C1">
      <w:pPr>
        <w:spacing w:line="480" w:lineRule="auto"/>
        <w:rPr>
          <w:rFonts w:ascii="Arial" w:hAnsi="Arial" w:cs="Arial"/>
        </w:rPr>
      </w:pPr>
      <w:r w:rsidRPr="00113777">
        <w:rPr>
          <w:rFonts w:ascii="Arial" w:hAnsi="Arial" w:cs="Arial"/>
        </w:rPr>
        <w:t xml:space="preserve">The Ministry of Education’s goal of ending all forms of discrimination and building an education system that is safe, inclusive, and welcoming </w:t>
      </w:r>
      <w:r w:rsidR="00687BBB" w:rsidRPr="00113777">
        <w:rPr>
          <w:rFonts w:ascii="Arial" w:hAnsi="Arial" w:cs="Arial"/>
        </w:rPr>
        <w:t>for all is a goal</w:t>
      </w:r>
      <w:r w:rsidRPr="00113777">
        <w:rPr>
          <w:rFonts w:ascii="Arial" w:hAnsi="Arial" w:cs="Arial"/>
        </w:rPr>
        <w:t xml:space="preserve"> </w:t>
      </w:r>
      <w:r w:rsidR="006D7586" w:rsidRPr="00113777">
        <w:rPr>
          <w:rFonts w:ascii="Arial" w:hAnsi="Arial" w:cs="Arial"/>
        </w:rPr>
        <w:t xml:space="preserve">that the </w:t>
      </w:r>
      <w:r w:rsidR="0000349F" w:rsidRPr="00113777">
        <w:rPr>
          <w:rFonts w:ascii="Arial" w:hAnsi="Arial" w:cs="Arial"/>
        </w:rPr>
        <w:t>ETFO</w:t>
      </w:r>
      <w:r w:rsidR="006D7586" w:rsidRPr="00113777">
        <w:rPr>
          <w:rFonts w:ascii="Arial" w:hAnsi="Arial" w:cs="Arial"/>
        </w:rPr>
        <w:t xml:space="preserve"> shares</w:t>
      </w:r>
      <w:r w:rsidR="00E25612" w:rsidRPr="00113777">
        <w:rPr>
          <w:rFonts w:ascii="Arial" w:hAnsi="Arial" w:cs="Arial"/>
        </w:rPr>
        <w:t>.</w:t>
      </w:r>
      <w:r w:rsidR="0009626A" w:rsidRPr="00113777">
        <w:rPr>
          <w:rFonts w:ascii="Arial" w:hAnsi="Arial" w:cs="Arial"/>
        </w:rPr>
        <w:t xml:space="preserve"> </w:t>
      </w:r>
      <w:r w:rsidR="00F10CCD" w:rsidRPr="00113777">
        <w:rPr>
          <w:rFonts w:ascii="Arial" w:hAnsi="Arial" w:cs="Arial"/>
        </w:rPr>
        <w:t xml:space="preserve">It is </w:t>
      </w:r>
      <w:r w:rsidR="0000349F" w:rsidRPr="00113777">
        <w:rPr>
          <w:rFonts w:ascii="Arial" w:hAnsi="Arial" w:cs="Arial"/>
        </w:rPr>
        <w:t xml:space="preserve">a </w:t>
      </w:r>
      <w:r w:rsidR="00F10CCD" w:rsidRPr="00113777">
        <w:rPr>
          <w:rFonts w:ascii="Arial" w:hAnsi="Arial" w:cs="Arial"/>
        </w:rPr>
        <w:t xml:space="preserve">goal that informs </w:t>
      </w:r>
      <w:proofErr w:type="gramStart"/>
      <w:r w:rsidR="00F10CCD" w:rsidRPr="00113777">
        <w:rPr>
          <w:rFonts w:ascii="Arial" w:hAnsi="Arial" w:cs="Arial"/>
        </w:rPr>
        <w:t>all of</w:t>
      </w:r>
      <w:proofErr w:type="gramEnd"/>
      <w:r w:rsidR="00F10CCD" w:rsidRPr="00113777">
        <w:rPr>
          <w:rFonts w:ascii="Arial" w:hAnsi="Arial" w:cs="Arial"/>
        </w:rPr>
        <w:t xml:space="preserve"> ETFO’s work on behalf of </w:t>
      </w:r>
      <w:r w:rsidR="000F6403" w:rsidRPr="00113777">
        <w:rPr>
          <w:rFonts w:ascii="Arial" w:hAnsi="Arial" w:cs="Arial"/>
        </w:rPr>
        <w:t xml:space="preserve">its </w:t>
      </w:r>
      <w:r w:rsidR="00F10CCD" w:rsidRPr="00113777">
        <w:rPr>
          <w:rFonts w:ascii="Arial" w:hAnsi="Arial" w:cs="Arial"/>
        </w:rPr>
        <w:t>83,000 members</w:t>
      </w:r>
      <w:r w:rsidR="00C23678" w:rsidRPr="00113777">
        <w:rPr>
          <w:rFonts w:ascii="Arial" w:hAnsi="Arial" w:cs="Arial"/>
        </w:rPr>
        <w:t xml:space="preserve"> </w:t>
      </w:r>
      <w:r w:rsidR="0088363A" w:rsidRPr="00113777">
        <w:rPr>
          <w:rFonts w:ascii="Arial" w:hAnsi="Arial" w:cs="Arial"/>
        </w:rPr>
        <w:t>as reflected in ETFO’s Equity Statement</w:t>
      </w:r>
      <w:r w:rsidR="00144657" w:rsidRPr="00113777">
        <w:rPr>
          <w:rFonts w:ascii="Arial" w:hAnsi="Arial" w:cs="Arial"/>
        </w:rPr>
        <w:t>:</w:t>
      </w:r>
    </w:p>
    <w:p w14:paraId="5E2E70D4" w14:textId="77777777" w:rsidR="00332B1C" w:rsidRPr="00113777" w:rsidRDefault="00332B1C" w:rsidP="00332B1C">
      <w:pPr>
        <w:spacing w:line="480" w:lineRule="auto"/>
        <w:ind w:left="720"/>
        <w:rPr>
          <w:rFonts w:ascii="Arial" w:hAnsi="Arial" w:cs="Arial"/>
          <w:i/>
          <w:iCs/>
        </w:rPr>
      </w:pPr>
      <w:r w:rsidRPr="00113777">
        <w:rPr>
          <w:rFonts w:ascii="Arial" w:hAnsi="Arial" w:cs="Arial"/>
          <w:i/>
          <w:iCs/>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promotes diversity, and fosters respect and dignity for all.</w:t>
      </w:r>
    </w:p>
    <w:p w14:paraId="36AB5CDE" w14:textId="77777777" w:rsidR="00332B1C" w:rsidRPr="0024565A" w:rsidRDefault="00332B1C" w:rsidP="00332B1C">
      <w:pPr>
        <w:spacing w:line="480" w:lineRule="auto"/>
        <w:ind w:left="720"/>
        <w:rPr>
          <w:rFonts w:ascii="Arial" w:hAnsi="Arial" w:cs="Arial"/>
          <w:b/>
          <w:bCs/>
          <w:i/>
          <w:iCs/>
        </w:rPr>
      </w:pPr>
      <w:r w:rsidRPr="0024565A">
        <w:rPr>
          <w:rFonts w:ascii="Arial" w:hAnsi="Arial" w:cs="Arial"/>
          <w:b/>
          <w:bCs/>
          <w:i/>
          <w:iCs/>
        </w:rPr>
        <w:t xml:space="preserve">ETFO’s Equity Initiatives </w:t>
      </w:r>
    </w:p>
    <w:p w14:paraId="6716810B" w14:textId="2FF331C3" w:rsidR="00332B1C" w:rsidRPr="00113777" w:rsidRDefault="00332B1C" w:rsidP="00332B1C">
      <w:pPr>
        <w:spacing w:line="480" w:lineRule="auto"/>
        <w:ind w:left="720"/>
        <w:rPr>
          <w:rFonts w:ascii="Arial" w:hAnsi="Arial" w:cs="Arial"/>
          <w:i/>
          <w:iCs/>
        </w:rPr>
      </w:pPr>
      <w:r w:rsidRPr="00113777">
        <w:rPr>
          <w:rFonts w:ascii="Arial" w:hAnsi="Arial" w:cs="Arial"/>
          <w:i/>
          <w:iCs/>
        </w:rPr>
        <w:t xml:space="preserve">ETFO is a union committed to social justice, equity and inclusion. The Federation’s commitment to these principles is reflected in the initiatives it has established as organizational priorities, such as: ETFO’s multi-year strategy on </w:t>
      </w:r>
      <w:r w:rsidR="006E7389" w:rsidRPr="00113777">
        <w:rPr>
          <w:rFonts w:ascii="Arial" w:hAnsi="Arial" w:cs="Arial"/>
          <w:i/>
          <w:iCs/>
        </w:rPr>
        <w:t>a</w:t>
      </w:r>
      <w:r w:rsidRPr="00113777">
        <w:rPr>
          <w:rFonts w:ascii="Arial" w:hAnsi="Arial" w:cs="Arial"/>
          <w:i/>
          <w:iCs/>
        </w:rPr>
        <w:t xml:space="preserve">nti-Black </w:t>
      </w:r>
      <w:r w:rsidR="006E7389" w:rsidRPr="00113777">
        <w:rPr>
          <w:rFonts w:ascii="Arial" w:hAnsi="Arial" w:cs="Arial"/>
          <w:i/>
          <w:iCs/>
        </w:rPr>
        <w:t>r</w:t>
      </w:r>
      <w:r w:rsidRPr="00113777">
        <w:rPr>
          <w:rFonts w:ascii="Arial" w:hAnsi="Arial" w:cs="Arial"/>
          <w:i/>
          <w:iCs/>
        </w:rPr>
        <w:t xml:space="preserve">acism; </w:t>
      </w:r>
      <w:r w:rsidR="006E7389" w:rsidRPr="00113777">
        <w:rPr>
          <w:rFonts w:ascii="Arial" w:hAnsi="Arial" w:cs="Arial"/>
          <w:i/>
          <w:iCs/>
        </w:rPr>
        <w:t>two s</w:t>
      </w:r>
      <w:r w:rsidRPr="00113777">
        <w:rPr>
          <w:rFonts w:ascii="Arial" w:hAnsi="Arial" w:cs="Arial"/>
          <w:i/>
          <w:iCs/>
        </w:rPr>
        <w:t xml:space="preserve">pirit, </w:t>
      </w:r>
      <w:r w:rsidR="006E7389" w:rsidRPr="00113777">
        <w:rPr>
          <w:rFonts w:ascii="Arial" w:hAnsi="Arial" w:cs="Arial"/>
          <w:i/>
          <w:iCs/>
        </w:rPr>
        <w:t>lesbian</w:t>
      </w:r>
      <w:r w:rsidRPr="00113777">
        <w:rPr>
          <w:rFonts w:ascii="Arial" w:hAnsi="Arial" w:cs="Arial"/>
          <w:i/>
          <w:iCs/>
        </w:rPr>
        <w:t xml:space="preserve">, </w:t>
      </w:r>
      <w:r w:rsidR="006E7389" w:rsidRPr="00113777">
        <w:rPr>
          <w:rFonts w:ascii="Arial" w:hAnsi="Arial" w:cs="Arial"/>
          <w:i/>
          <w:iCs/>
        </w:rPr>
        <w:t>gay</w:t>
      </w:r>
      <w:r w:rsidRPr="00113777">
        <w:rPr>
          <w:rFonts w:ascii="Arial" w:hAnsi="Arial" w:cs="Arial"/>
          <w:i/>
          <w:iCs/>
        </w:rPr>
        <w:t xml:space="preserve">, </w:t>
      </w:r>
      <w:r w:rsidR="006E7389" w:rsidRPr="00113777">
        <w:rPr>
          <w:rFonts w:ascii="Arial" w:hAnsi="Arial" w:cs="Arial"/>
          <w:i/>
          <w:iCs/>
        </w:rPr>
        <w:t>bisexual</w:t>
      </w:r>
      <w:r w:rsidRPr="00113777">
        <w:rPr>
          <w:rFonts w:ascii="Arial" w:hAnsi="Arial" w:cs="Arial"/>
          <w:i/>
          <w:iCs/>
        </w:rPr>
        <w:t xml:space="preserve">, </w:t>
      </w:r>
      <w:r w:rsidR="006E7389" w:rsidRPr="00113777">
        <w:rPr>
          <w:rFonts w:ascii="Arial" w:hAnsi="Arial" w:cs="Arial"/>
          <w:i/>
          <w:iCs/>
        </w:rPr>
        <w:t>transgender</w:t>
      </w:r>
      <w:r w:rsidRPr="00113777">
        <w:rPr>
          <w:rFonts w:ascii="Arial" w:hAnsi="Arial" w:cs="Arial"/>
          <w:i/>
          <w:iCs/>
        </w:rPr>
        <w:t xml:space="preserve">, </w:t>
      </w:r>
      <w:r w:rsidR="006E7389" w:rsidRPr="00113777">
        <w:rPr>
          <w:rFonts w:ascii="Arial" w:hAnsi="Arial" w:cs="Arial"/>
          <w:i/>
          <w:iCs/>
        </w:rPr>
        <w:t xml:space="preserve">queer </w:t>
      </w:r>
      <w:r w:rsidRPr="00113777">
        <w:rPr>
          <w:rFonts w:ascii="Arial" w:hAnsi="Arial" w:cs="Arial"/>
          <w:i/>
          <w:iCs/>
        </w:rPr>
        <w:t xml:space="preserve">and </w:t>
      </w:r>
      <w:r w:rsidR="006E7389" w:rsidRPr="00113777">
        <w:rPr>
          <w:rFonts w:ascii="Arial" w:hAnsi="Arial" w:cs="Arial"/>
          <w:i/>
          <w:iCs/>
        </w:rPr>
        <w:t xml:space="preserve">questioning </w:t>
      </w:r>
      <w:r w:rsidRPr="00113777">
        <w:rPr>
          <w:rFonts w:ascii="Arial" w:hAnsi="Arial" w:cs="Arial"/>
          <w:i/>
          <w:iCs/>
        </w:rPr>
        <w:t xml:space="preserve">education; and addressing First Nations, Métis and Inuit issues. ETFO establishes its understanding of these issues </w:t>
      </w:r>
      <w:r w:rsidRPr="00113777">
        <w:rPr>
          <w:rFonts w:ascii="Arial" w:hAnsi="Arial" w:cs="Arial"/>
          <w:i/>
          <w:iCs/>
        </w:rPr>
        <w:lastRenderedPageBreak/>
        <w:t xml:space="preserve">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 </w:t>
      </w:r>
    </w:p>
    <w:p w14:paraId="65617F60" w14:textId="77777777" w:rsidR="00332B1C" w:rsidRPr="00113777" w:rsidRDefault="00332B1C" w:rsidP="00332B1C">
      <w:pPr>
        <w:spacing w:line="480" w:lineRule="auto"/>
        <w:ind w:left="720"/>
        <w:rPr>
          <w:rFonts w:ascii="Arial" w:hAnsi="Arial" w:cs="Arial"/>
          <w:i/>
          <w:iCs/>
        </w:rPr>
      </w:pPr>
      <w:r w:rsidRPr="00113777">
        <w:rPr>
          <w:rFonts w:ascii="Arial" w:hAnsi="Arial" w:cs="Arial"/>
          <w:i/>
          <w:iCs/>
        </w:rPr>
        <w:t xml:space="preserve">Using the anti-oppressive framework is one of the ways that ETFO is operationalizing its Equity Statement. </w:t>
      </w:r>
    </w:p>
    <w:p w14:paraId="686073CB" w14:textId="1FC8E3E1" w:rsidR="00332B1C" w:rsidRPr="0024565A" w:rsidRDefault="00332B1C" w:rsidP="00332B1C">
      <w:pPr>
        <w:spacing w:line="480" w:lineRule="auto"/>
        <w:ind w:left="720"/>
        <w:rPr>
          <w:rFonts w:ascii="Arial" w:hAnsi="Arial" w:cs="Arial"/>
          <w:b/>
          <w:bCs/>
          <w:i/>
          <w:iCs/>
        </w:rPr>
      </w:pPr>
      <w:r w:rsidRPr="0024565A">
        <w:rPr>
          <w:rFonts w:ascii="Arial" w:hAnsi="Arial" w:cs="Arial"/>
          <w:b/>
          <w:bCs/>
          <w:i/>
          <w:iCs/>
        </w:rPr>
        <w:t xml:space="preserve">Definition of </w:t>
      </w:r>
      <w:r w:rsidR="006E7389" w:rsidRPr="0024565A">
        <w:rPr>
          <w:rFonts w:ascii="Arial" w:hAnsi="Arial" w:cs="Arial"/>
          <w:b/>
          <w:bCs/>
          <w:i/>
          <w:iCs/>
        </w:rPr>
        <w:t xml:space="preserve">an </w:t>
      </w:r>
      <w:r w:rsidRPr="0024565A">
        <w:rPr>
          <w:rFonts w:ascii="Arial" w:hAnsi="Arial" w:cs="Arial"/>
          <w:b/>
          <w:bCs/>
          <w:i/>
          <w:iCs/>
        </w:rPr>
        <w:t xml:space="preserve">Anti-Oppressive Framework </w:t>
      </w:r>
    </w:p>
    <w:p w14:paraId="57471E7E" w14:textId="77777777" w:rsidR="003C50A7" w:rsidRPr="00113777" w:rsidRDefault="00332B1C" w:rsidP="00332B1C">
      <w:pPr>
        <w:spacing w:line="480" w:lineRule="auto"/>
        <w:ind w:left="720"/>
        <w:rPr>
          <w:rFonts w:ascii="Arial" w:hAnsi="Arial" w:cs="Arial"/>
          <w:i/>
          <w:iCs/>
        </w:rPr>
      </w:pPr>
      <w:r w:rsidRPr="00113777">
        <w:rPr>
          <w:rFonts w:ascii="Arial" w:hAnsi="Arial" w:cs="Arial"/>
          <w:i/>
          <w:iCs/>
        </w:rPr>
        <w:t xml:space="preserve">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w:t>
      </w:r>
      <w:proofErr w:type="gramStart"/>
      <w:r w:rsidRPr="00113777">
        <w:rPr>
          <w:rFonts w:ascii="Arial" w:hAnsi="Arial" w:cs="Arial"/>
          <w:i/>
          <w:iCs/>
        </w:rPr>
        <w:t>in order to</w:t>
      </w:r>
      <w:proofErr w:type="gramEnd"/>
      <w:r w:rsidRPr="00113777">
        <w:rPr>
          <w:rFonts w:ascii="Arial" w:hAnsi="Arial" w:cs="Arial"/>
          <w:i/>
          <w:iCs/>
        </w:rPr>
        <w:t xml:space="preserve"> mitigate and address the systemic inequalities that often operate simultaneously and unconsciously at the individual, group and institutional or union level.</w:t>
      </w:r>
      <w:r w:rsidR="00DB073C" w:rsidRPr="00113777">
        <w:rPr>
          <w:rStyle w:val="FootnoteReference"/>
          <w:rFonts w:ascii="Arial" w:hAnsi="Arial" w:cs="Arial"/>
          <w:i/>
          <w:iCs/>
        </w:rPr>
        <w:footnoteReference w:id="1"/>
      </w:r>
    </w:p>
    <w:p w14:paraId="5E69A941" w14:textId="7FE8CC5D" w:rsidR="00056A9E" w:rsidRPr="00113777" w:rsidRDefault="00E43B83" w:rsidP="00562834">
      <w:pPr>
        <w:spacing w:line="480" w:lineRule="auto"/>
        <w:rPr>
          <w:rFonts w:ascii="Arial" w:hAnsi="Arial" w:cs="Arial"/>
        </w:rPr>
      </w:pPr>
      <w:r w:rsidRPr="00113777">
        <w:rPr>
          <w:rFonts w:ascii="Arial" w:hAnsi="Arial" w:cs="Arial"/>
        </w:rPr>
        <w:t>Being proactive</w:t>
      </w:r>
      <w:r w:rsidR="0013033A" w:rsidRPr="00113777">
        <w:rPr>
          <w:rFonts w:ascii="Arial" w:hAnsi="Arial" w:cs="Arial"/>
        </w:rPr>
        <w:t xml:space="preserve"> </w:t>
      </w:r>
      <w:r w:rsidRPr="00113777">
        <w:rPr>
          <w:rFonts w:ascii="Arial" w:hAnsi="Arial" w:cs="Arial"/>
        </w:rPr>
        <w:t>—</w:t>
      </w:r>
      <w:r w:rsidR="0013033A" w:rsidRPr="00113777">
        <w:rPr>
          <w:rFonts w:ascii="Arial" w:hAnsi="Arial" w:cs="Arial"/>
        </w:rPr>
        <w:t xml:space="preserve"> </w:t>
      </w:r>
      <w:r w:rsidRPr="00113777">
        <w:rPr>
          <w:rFonts w:ascii="Arial" w:hAnsi="Arial" w:cs="Arial"/>
        </w:rPr>
        <w:t>not reactive</w:t>
      </w:r>
      <w:r w:rsidR="0013033A" w:rsidRPr="00113777">
        <w:rPr>
          <w:rFonts w:ascii="Arial" w:hAnsi="Arial" w:cs="Arial"/>
        </w:rPr>
        <w:t xml:space="preserve"> </w:t>
      </w:r>
      <w:r w:rsidRPr="00113777">
        <w:rPr>
          <w:rFonts w:ascii="Arial" w:hAnsi="Arial" w:cs="Arial"/>
        </w:rPr>
        <w:t>—</w:t>
      </w:r>
      <w:r w:rsidR="0013033A" w:rsidRPr="00113777">
        <w:rPr>
          <w:rFonts w:ascii="Arial" w:hAnsi="Arial" w:cs="Arial"/>
        </w:rPr>
        <w:t xml:space="preserve"> </w:t>
      </w:r>
      <w:r w:rsidRPr="00113777">
        <w:rPr>
          <w:rFonts w:ascii="Arial" w:hAnsi="Arial" w:cs="Arial"/>
        </w:rPr>
        <w:t>in dismantling oppressive systems such as colonialism and racism and eradicating discrimination</w:t>
      </w:r>
      <w:r w:rsidR="00D12A3D" w:rsidRPr="00113777">
        <w:rPr>
          <w:rFonts w:ascii="Arial" w:hAnsi="Arial" w:cs="Arial"/>
        </w:rPr>
        <w:t xml:space="preserve"> in our schools, communities and for ETFO, our union, is critical</w:t>
      </w:r>
      <w:r w:rsidRPr="00113777">
        <w:rPr>
          <w:rFonts w:ascii="Arial" w:hAnsi="Arial" w:cs="Arial"/>
        </w:rPr>
        <w:t>.</w:t>
      </w:r>
      <w:r w:rsidR="00710F0B" w:rsidRPr="00113777">
        <w:rPr>
          <w:rFonts w:ascii="Arial" w:hAnsi="Arial" w:cs="Arial"/>
        </w:rPr>
        <w:t xml:space="preserve"> </w:t>
      </w:r>
      <w:r w:rsidR="00A8288D" w:rsidRPr="00113777">
        <w:rPr>
          <w:rFonts w:ascii="Arial" w:hAnsi="Arial" w:cs="Arial"/>
        </w:rPr>
        <w:t>The work must be strategic</w:t>
      </w:r>
      <w:r w:rsidR="00A84973" w:rsidRPr="00113777">
        <w:rPr>
          <w:rFonts w:ascii="Arial" w:hAnsi="Arial" w:cs="Arial"/>
        </w:rPr>
        <w:t xml:space="preserve">, systemic </w:t>
      </w:r>
      <w:r w:rsidR="00CD1FE1" w:rsidRPr="00113777">
        <w:rPr>
          <w:rFonts w:ascii="Arial" w:hAnsi="Arial" w:cs="Arial"/>
        </w:rPr>
        <w:t xml:space="preserve">and </w:t>
      </w:r>
      <w:r w:rsidR="00A8288D" w:rsidRPr="00113777">
        <w:rPr>
          <w:rFonts w:ascii="Arial" w:hAnsi="Arial" w:cs="Arial"/>
        </w:rPr>
        <w:t>appropriately funde</w:t>
      </w:r>
      <w:r w:rsidR="00710F0B" w:rsidRPr="00113777">
        <w:rPr>
          <w:rFonts w:ascii="Arial" w:hAnsi="Arial" w:cs="Arial"/>
        </w:rPr>
        <w:t>d</w:t>
      </w:r>
      <w:r w:rsidR="00DB073C" w:rsidRPr="00113777">
        <w:rPr>
          <w:rFonts w:ascii="Arial" w:hAnsi="Arial" w:cs="Arial"/>
        </w:rPr>
        <w:t xml:space="preserve"> and resourced</w:t>
      </w:r>
      <w:r w:rsidR="00541D6A" w:rsidRPr="00113777">
        <w:rPr>
          <w:rFonts w:ascii="Arial" w:hAnsi="Arial" w:cs="Arial"/>
        </w:rPr>
        <w:t xml:space="preserve"> with </w:t>
      </w:r>
      <w:r w:rsidR="00541D6A" w:rsidRPr="00113777">
        <w:rPr>
          <w:rFonts w:ascii="Arial" w:hAnsi="Arial" w:cs="Arial"/>
        </w:rPr>
        <w:lastRenderedPageBreak/>
        <w:t xml:space="preserve">processes in place to measure </w:t>
      </w:r>
      <w:r w:rsidR="004E0A19" w:rsidRPr="00113777">
        <w:rPr>
          <w:rFonts w:ascii="Arial" w:hAnsi="Arial" w:cs="Arial"/>
        </w:rPr>
        <w:t>and report progress</w:t>
      </w:r>
      <w:r w:rsidR="003933A5" w:rsidRPr="00113777">
        <w:rPr>
          <w:rFonts w:ascii="Arial" w:hAnsi="Arial" w:cs="Arial"/>
        </w:rPr>
        <w:t xml:space="preserve"> and hold those in positions of power to account</w:t>
      </w:r>
      <w:r w:rsidR="00710F0B" w:rsidRPr="00113777">
        <w:rPr>
          <w:rFonts w:ascii="Arial" w:hAnsi="Arial" w:cs="Arial"/>
        </w:rPr>
        <w:t>.</w:t>
      </w:r>
      <w:r w:rsidR="00A64219" w:rsidRPr="00113777">
        <w:rPr>
          <w:rFonts w:ascii="Arial" w:hAnsi="Arial" w:cs="Arial"/>
        </w:rPr>
        <w:t xml:space="preserve"> </w:t>
      </w:r>
      <w:r w:rsidR="00375B4F" w:rsidRPr="00113777">
        <w:rPr>
          <w:rFonts w:ascii="Arial" w:hAnsi="Arial" w:cs="Arial"/>
        </w:rPr>
        <w:t xml:space="preserve">The work cannot be voluntary. </w:t>
      </w:r>
    </w:p>
    <w:p w14:paraId="168F0885" w14:textId="7BE9F3D9" w:rsidR="00A772E6" w:rsidRPr="00113777" w:rsidRDefault="00515FE8" w:rsidP="00796068">
      <w:pPr>
        <w:spacing w:line="480" w:lineRule="auto"/>
        <w:rPr>
          <w:rFonts w:ascii="Arial" w:hAnsi="Arial" w:cs="Arial"/>
        </w:rPr>
      </w:pPr>
      <w:r w:rsidRPr="00113777">
        <w:rPr>
          <w:rFonts w:ascii="Arial" w:hAnsi="Arial" w:cs="Arial"/>
        </w:rPr>
        <w:t xml:space="preserve">ETFO is concerned that the Ministry of Education’s voluntary guidance for school boards on human rights complaint procedures </w:t>
      </w:r>
      <w:r w:rsidR="00E22E77" w:rsidRPr="00113777">
        <w:rPr>
          <w:rFonts w:ascii="Arial" w:hAnsi="Arial" w:cs="Arial"/>
        </w:rPr>
        <w:t>fails to meet these necessary requirements for transformative change</w:t>
      </w:r>
      <w:r w:rsidR="00D57C97" w:rsidRPr="00113777">
        <w:rPr>
          <w:rFonts w:ascii="Arial" w:hAnsi="Arial" w:cs="Arial"/>
        </w:rPr>
        <w:t>.</w:t>
      </w:r>
      <w:r w:rsidR="002767BA" w:rsidRPr="00113777">
        <w:rPr>
          <w:rFonts w:ascii="Arial" w:hAnsi="Arial" w:cs="Arial"/>
        </w:rPr>
        <w:t xml:space="preserve"> Complaint pr</w:t>
      </w:r>
      <w:r w:rsidR="00A85827" w:rsidRPr="00113777">
        <w:rPr>
          <w:rFonts w:ascii="Arial" w:hAnsi="Arial" w:cs="Arial"/>
        </w:rPr>
        <w:t>ocedures</w:t>
      </w:r>
      <w:r w:rsidR="002767BA" w:rsidRPr="00113777">
        <w:rPr>
          <w:rFonts w:ascii="Arial" w:hAnsi="Arial" w:cs="Arial"/>
        </w:rPr>
        <w:t xml:space="preserve"> should not be </w:t>
      </w:r>
      <w:r w:rsidR="00410002" w:rsidRPr="00113777">
        <w:rPr>
          <w:rFonts w:ascii="Arial" w:hAnsi="Arial" w:cs="Arial"/>
        </w:rPr>
        <w:t xml:space="preserve">the </w:t>
      </w:r>
      <w:r w:rsidR="00DB073C" w:rsidRPr="00113777">
        <w:rPr>
          <w:rFonts w:ascii="Arial" w:hAnsi="Arial" w:cs="Arial"/>
        </w:rPr>
        <w:t xml:space="preserve">primary </w:t>
      </w:r>
      <w:r w:rsidR="00410002" w:rsidRPr="00113777">
        <w:rPr>
          <w:rFonts w:ascii="Arial" w:hAnsi="Arial" w:cs="Arial"/>
        </w:rPr>
        <w:t xml:space="preserve">focus of any </w:t>
      </w:r>
      <w:r w:rsidR="00764B3E" w:rsidRPr="00113777">
        <w:rPr>
          <w:rFonts w:ascii="Arial" w:hAnsi="Arial" w:cs="Arial"/>
        </w:rPr>
        <w:t>equity</w:t>
      </w:r>
      <w:r w:rsidR="00410002" w:rsidRPr="00113777">
        <w:rPr>
          <w:rFonts w:ascii="Arial" w:hAnsi="Arial" w:cs="Arial"/>
        </w:rPr>
        <w:t xml:space="preserve"> strategy</w:t>
      </w:r>
      <w:r w:rsidR="00796068" w:rsidRPr="00113777">
        <w:rPr>
          <w:rFonts w:ascii="Arial" w:hAnsi="Arial" w:cs="Arial"/>
        </w:rPr>
        <w:t xml:space="preserve"> </w:t>
      </w:r>
      <w:r w:rsidR="00F879BB" w:rsidRPr="00113777">
        <w:rPr>
          <w:rFonts w:ascii="Arial" w:hAnsi="Arial" w:cs="Arial"/>
        </w:rPr>
        <w:t>or</w:t>
      </w:r>
      <w:r w:rsidR="00A653E0" w:rsidRPr="00113777">
        <w:rPr>
          <w:rFonts w:ascii="Arial" w:hAnsi="Arial" w:cs="Arial"/>
        </w:rPr>
        <w:t xml:space="preserve"> plan for reconciliation with Indigenous communities.</w:t>
      </w:r>
      <w:r w:rsidR="00007AF4" w:rsidRPr="00113777">
        <w:rPr>
          <w:rFonts w:ascii="Arial" w:hAnsi="Arial" w:cs="Arial"/>
        </w:rPr>
        <w:t xml:space="preserve"> </w:t>
      </w:r>
    </w:p>
    <w:p w14:paraId="08468AFF" w14:textId="77777777" w:rsidR="00451673" w:rsidRPr="00113777" w:rsidRDefault="00451673" w:rsidP="00451673">
      <w:pPr>
        <w:pStyle w:val="Heading1"/>
      </w:pPr>
      <w:bookmarkStart w:id="15" w:name="_Toc77934719"/>
      <w:r w:rsidRPr="00113777">
        <w:t>The Limits of Complaint Procedures</w:t>
      </w:r>
      <w:bookmarkEnd w:id="15"/>
      <w:r w:rsidRPr="00113777">
        <w:t xml:space="preserve"> </w:t>
      </w:r>
    </w:p>
    <w:p w14:paraId="154F005A" w14:textId="77777777" w:rsidR="00592317" w:rsidRPr="00113777" w:rsidRDefault="00592317" w:rsidP="00DB037E">
      <w:pPr>
        <w:spacing w:line="480" w:lineRule="auto"/>
        <w:rPr>
          <w:rFonts w:ascii="Arial" w:hAnsi="Arial" w:cs="Arial"/>
        </w:rPr>
      </w:pPr>
      <w:r w:rsidRPr="00113777">
        <w:rPr>
          <w:rFonts w:ascii="Arial" w:hAnsi="Arial" w:cs="Arial"/>
        </w:rPr>
        <w:t>Human rights complaint processes are not proactive. They are reactive. They place the burden of upholding human rights on the individuals and communities who are experiencing discrimination. Where comprehensive internal school board procedures exist, they are often not followed. Delay</w:t>
      </w:r>
      <w:r w:rsidR="00E01119" w:rsidRPr="00113777">
        <w:rPr>
          <w:rFonts w:ascii="Arial" w:hAnsi="Arial" w:cs="Arial"/>
        </w:rPr>
        <w:t xml:space="preserve">s </w:t>
      </w:r>
      <w:r w:rsidRPr="00113777">
        <w:rPr>
          <w:rFonts w:ascii="Arial" w:hAnsi="Arial" w:cs="Arial"/>
        </w:rPr>
        <w:t>in the processing and investigation of complaints are incessant and cause further harm to participants. Human rights complaint processes are frequently limited in their impact</w:t>
      </w:r>
      <w:r w:rsidR="00E47D7F" w:rsidRPr="00113777">
        <w:rPr>
          <w:rFonts w:ascii="Arial" w:hAnsi="Arial" w:cs="Arial"/>
        </w:rPr>
        <w:t xml:space="preserve"> with investigations focused on individual actions without meaningful consideration of the systems of oppression operating at the group and institutional level and accountability for those in positions to effect change. </w:t>
      </w:r>
    </w:p>
    <w:p w14:paraId="12CD3A84" w14:textId="20F5156E" w:rsidR="005E1E70" w:rsidRPr="00113777" w:rsidRDefault="0022010B" w:rsidP="0022010B">
      <w:pPr>
        <w:spacing w:line="480" w:lineRule="auto"/>
        <w:rPr>
          <w:rFonts w:ascii="Arial" w:hAnsi="Arial" w:cs="Arial"/>
        </w:rPr>
      </w:pPr>
      <w:r w:rsidRPr="00113777">
        <w:rPr>
          <w:rFonts w:ascii="Arial" w:hAnsi="Arial" w:cs="Arial"/>
        </w:rPr>
        <w:t xml:space="preserve">Policy/Program Memorandum No. 119 </w:t>
      </w:r>
      <w:r w:rsidR="00897EE8" w:rsidRPr="00113777">
        <w:rPr>
          <w:rFonts w:ascii="Arial" w:hAnsi="Arial" w:cs="Arial"/>
        </w:rPr>
        <w:t xml:space="preserve">(PPM 119) </w:t>
      </w:r>
      <w:r w:rsidRPr="00113777">
        <w:rPr>
          <w:rFonts w:ascii="Arial" w:hAnsi="Arial" w:cs="Arial"/>
          <w:i/>
          <w:iCs/>
        </w:rPr>
        <w:t>Developing and Implementing Education Policies in Ontario</w:t>
      </w:r>
      <w:r w:rsidR="00C05EDF" w:rsidRPr="00113777">
        <w:rPr>
          <w:rFonts w:ascii="Arial" w:hAnsi="Arial" w:cs="Arial"/>
        </w:rPr>
        <w:t>, which the Ministry cites in this consultation,</w:t>
      </w:r>
      <w:r w:rsidRPr="00113777">
        <w:rPr>
          <w:rFonts w:ascii="Arial" w:hAnsi="Arial" w:cs="Arial"/>
        </w:rPr>
        <w:t xml:space="preserve"> was last issued almost a decade ago in 2013.</w:t>
      </w:r>
      <w:r w:rsidR="001E5933" w:rsidRPr="00113777">
        <w:rPr>
          <w:rFonts w:ascii="Arial" w:hAnsi="Arial" w:cs="Arial"/>
        </w:rPr>
        <w:t xml:space="preserve"> PPM</w:t>
      </w:r>
      <w:r w:rsidR="0045462A" w:rsidRPr="00113777">
        <w:rPr>
          <w:rFonts w:ascii="Arial" w:hAnsi="Arial" w:cs="Arial"/>
        </w:rPr>
        <w:t xml:space="preserve"> 119 identified three goals of the equity and inclusive education strateg</w:t>
      </w:r>
      <w:r w:rsidR="009708AF" w:rsidRPr="00113777">
        <w:rPr>
          <w:rFonts w:ascii="Arial" w:hAnsi="Arial" w:cs="Arial"/>
        </w:rPr>
        <w:t>y</w:t>
      </w:r>
      <w:r w:rsidR="001A5A35" w:rsidRPr="00113777">
        <w:rPr>
          <w:rStyle w:val="FootnoteReference"/>
          <w:rFonts w:ascii="Arial" w:hAnsi="Arial" w:cs="Arial"/>
        </w:rPr>
        <w:footnoteReference w:id="2"/>
      </w:r>
      <w:r w:rsidR="001A5A35" w:rsidRPr="00113777">
        <w:rPr>
          <w:rFonts w:ascii="Arial" w:hAnsi="Arial" w:cs="Arial"/>
        </w:rPr>
        <w:t xml:space="preserve"> </w:t>
      </w:r>
      <w:r w:rsidR="009708AF" w:rsidRPr="00113777">
        <w:rPr>
          <w:rFonts w:ascii="Arial" w:hAnsi="Arial" w:cs="Arial"/>
        </w:rPr>
        <w:t xml:space="preserve">and </w:t>
      </w:r>
      <w:r w:rsidR="00F662FD" w:rsidRPr="00113777">
        <w:rPr>
          <w:rFonts w:ascii="Arial" w:hAnsi="Arial" w:cs="Arial"/>
        </w:rPr>
        <w:t xml:space="preserve">required each school board policy on equity and inclusive education to cover </w:t>
      </w:r>
      <w:r w:rsidR="007244CF" w:rsidRPr="00113777">
        <w:rPr>
          <w:rFonts w:ascii="Arial" w:hAnsi="Arial" w:cs="Arial"/>
        </w:rPr>
        <w:t>eight areas of focus.</w:t>
      </w:r>
      <w:r w:rsidR="00E250A5" w:rsidRPr="00113777">
        <w:rPr>
          <w:rFonts w:ascii="Arial" w:hAnsi="Arial" w:cs="Arial"/>
        </w:rPr>
        <w:t xml:space="preserve"> </w:t>
      </w:r>
      <w:r w:rsidRPr="00113777">
        <w:rPr>
          <w:rFonts w:ascii="Arial" w:hAnsi="Arial" w:cs="Arial"/>
        </w:rPr>
        <w:t xml:space="preserve">“School </w:t>
      </w:r>
      <w:r w:rsidRPr="00113777">
        <w:rPr>
          <w:rFonts w:ascii="Arial" w:hAnsi="Arial" w:cs="Arial"/>
        </w:rPr>
        <w:lastRenderedPageBreak/>
        <w:t xml:space="preserve">climate and prevention of discrimination and harassment” was one of eight </w:t>
      </w:r>
      <w:r w:rsidR="00E250A5" w:rsidRPr="00113777">
        <w:rPr>
          <w:rFonts w:ascii="Arial" w:hAnsi="Arial" w:cs="Arial"/>
        </w:rPr>
        <w:t xml:space="preserve">focus areas. </w:t>
      </w:r>
      <w:r w:rsidR="00723D23" w:rsidRPr="00113777">
        <w:rPr>
          <w:rFonts w:ascii="Arial" w:hAnsi="Arial" w:cs="Arial"/>
        </w:rPr>
        <w:t xml:space="preserve">The requirement that </w:t>
      </w:r>
      <w:r w:rsidRPr="00113777">
        <w:rPr>
          <w:rFonts w:ascii="Arial" w:hAnsi="Arial" w:cs="Arial"/>
        </w:rPr>
        <w:t>“</w:t>
      </w:r>
      <w:r w:rsidR="00BC1035" w:rsidRPr="00113777">
        <w:rPr>
          <w:rFonts w:ascii="Arial" w:hAnsi="Arial" w:cs="Arial"/>
        </w:rPr>
        <w:t xml:space="preserve">boards </w:t>
      </w:r>
      <w:r w:rsidRPr="00113777">
        <w:rPr>
          <w:rFonts w:ascii="Arial" w:hAnsi="Arial" w:cs="Arial"/>
        </w:rPr>
        <w:t>will also put procedures in place that will enable students and staff to report incidents of discrimination and harassment safety, and that will enable boards to respond in a timely manner</w:t>
      </w:r>
      <w:r w:rsidR="00723D23" w:rsidRPr="00113777">
        <w:rPr>
          <w:rFonts w:ascii="Arial" w:hAnsi="Arial" w:cs="Arial"/>
        </w:rPr>
        <w:t>” was just one of many</w:t>
      </w:r>
      <w:r w:rsidR="00B13DAD" w:rsidRPr="00113777">
        <w:rPr>
          <w:rFonts w:ascii="Arial" w:hAnsi="Arial" w:cs="Arial"/>
        </w:rPr>
        <w:t xml:space="preserve"> requirements</w:t>
      </w:r>
      <w:r w:rsidR="00723D23" w:rsidRPr="00113777">
        <w:rPr>
          <w:rFonts w:ascii="Arial" w:hAnsi="Arial" w:cs="Arial"/>
        </w:rPr>
        <w:t xml:space="preserve"> </w:t>
      </w:r>
      <w:r w:rsidR="00183104" w:rsidRPr="00113777">
        <w:rPr>
          <w:rFonts w:ascii="Arial" w:hAnsi="Arial" w:cs="Arial"/>
        </w:rPr>
        <w:t>in that area of focus</w:t>
      </w:r>
      <w:r w:rsidR="00457BED" w:rsidRPr="00113777">
        <w:rPr>
          <w:rStyle w:val="FootnoteReference"/>
          <w:rFonts w:ascii="Arial" w:hAnsi="Arial" w:cs="Arial"/>
        </w:rPr>
        <w:footnoteReference w:id="3"/>
      </w:r>
      <w:r w:rsidR="00183104" w:rsidRPr="00113777">
        <w:rPr>
          <w:rFonts w:ascii="Arial" w:hAnsi="Arial" w:cs="Arial"/>
        </w:rPr>
        <w:t>.</w:t>
      </w:r>
      <w:r w:rsidR="00C27738" w:rsidRPr="00113777">
        <w:rPr>
          <w:rFonts w:ascii="Arial" w:hAnsi="Arial" w:cs="Arial"/>
        </w:rPr>
        <w:t xml:space="preserve"> PPM 119 appropriately situated complaint procedures </w:t>
      </w:r>
      <w:r w:rsidR="0085702F" w:rsidRPr="00113777">
        <w:rPr>
          <w:rFonts w:ascii="Arial" w:hAnsi="Arial" w:cs="Arial"/>
        </w:rPr>
        <w:t xml:space="preserve">as one of many aspects of </w:t>
      </w:r>
      <w:r w:rsidR="005A786C" w:rsidRPr="00113777">
        <w:rPr>
          <w:rFonts w:ascii="Arial" w:hAnsi="Arial" w:cs="Arial"/>
        </w:rPr>
        <w:t>a school board</w:t>
      </w:r>
      <w:r w:rsidR="00383AC8" w:rsidRPr="00113777">
        <w:rPr>
          <w:rFonts w:ascii="Arial" w:hAnsi="Arial" w:cs="Arial"/>
        </w:rPr>
        <w:t>’</w:t>
      </w:r>
      <w:r w:rsidR="005A786C" w:rsidRPr="00113777">
        <w:rPr>
          <w:rFonts w:ascii="Arial" w:hAnsi="Arial" w:cs="Arial"/>
        </w:rPr>
        <w:t>s equity and inclusive education policy.</w:t>
      </w:r>
    </w:p>
    <w:p w14:paraId="664A87CF" w14:textId="3812310C" w:rsidR="00506F92" w:rsidRPr="00113777" w:rsidRDefault="00B33CBD" w:rsidP="00B33CBD">
      <w:pPr>
        <w:spacing w:line="480" w:lineRule="auto"/>
        <w:rPr>
          <w:rFonts w:ascii="Arial" w:hAnsi="Arial" w:cs="Arial"/>
        </w:rPr>
      </w:pPr>
      <w:r w:rsidRPr="00113777">
        <w:rPr>
          <w:rFonts w:ascii="Arial" w:hAnsi="Arial" w:cs="Arial"/>
        </w:rPr>
        <w:t>Though having discrimination and harassment procedures is described as a requirement in PPM 119, it has</w:t>
      </w:r>
      <w:r w:rsidR="00DB073C" w:rsidRPr="00113777">
        <w:rPr>
          <w:rFonts w:ascii="Arial" w:hAnsi="Arial" w:cs="Arial"/>
        </w:rPr>
        <w:t xml:space="preserve"> not</w:t>
      </w:r>
      <w:r w:rsidRPr="00113777">
        <w:rPr>
          <w:rFonts w:ascii="Arial" w:hAnsi="Arial" w:cs="Arial"/>
        </w:rPr>
        <w:t xml:space="preserve"> been treated as a requirement. For many years, all </w:t>
      </w:r>
      <w:r w:rsidR="00183104" w:rsidRPr="00113777">
        <w:rPr>
          <w:rFonts w:ascii="Arial" w:hAnsi="Arial" w:cs="Arial"/>
        </w:rPr>
        <w:t xml:space="preserve">school boards have </w:t>
      </w:r>
      <w:r w:rsidR="00D82FC8" w:rsidRPr="00113777">
        <w:rPr>
          <w:rFonts w:ascii="Arial" w:hAnsi="Arial" w:cs="Arial"/>
        </w:rPr>
        <w:t xml:space="preserve">had </w:t>
      </w:r>
      <w:r w:rsidR="00183104" w:rsidRPr="00113777">
        <w:rPr>
          <w:rFonts w:ascii="Arial" w:hAnsi="Arial" w:cs="Arial"/>
        </w:rPr>
        <w:t>workplace discrimination and harassment policies and procedures</w:t>
      </w:r>
      <w:r w:rsidR="00D55625" w:rsidRPr="00113777">
        <w:rPr>
          <w:rFonts w:ascii="Arial" w:hAnsi="Arial" w:cs="Arial"/>
        </w:rPr>
        <w:t xml:space="preserve"> for staff</w:t>
      </w:r>
      <w:r w:rsidR="00A31150" w:rsidRPr="00113777">
        <w:rPr>
          <w:rFonts w:ascii="Arial" w:hAnsi="Arial" w:cs="Arial"/>
        </w:rPr>
        <w:t xml:space="preserve">, in part, because of legislated requirements under the </w:t>
      </w:r>
      <w:r w:rsidR="00A31150" w:rsidRPr="00113777">
        <w:rPr>
          <w:rFonts w:ascii="Arial" w:hAnsi="Arial" w:cs="Arial"/>
          <w:i/>
          <w:iCs/>
        </w:rPr>
        <w:t>Occupational Health and Safety Act</w:t>
      </w:r>
      <w:r w:rsidR="00647443" w:rsidRPr="00113777">
        <w:rPr>
          <w:rFonts w:ascii="Arial" w:hAnsi="Arial" w:cs="Arial"/>
        </w:rPr>
        <w:t>.</w:t>
      </w:r>
      <w:r w:rsidR="00125044" w:rsidRPr="00113777">
        <w:rPr>
          <w:rFonts w:ascii="Arial" w:hAnsi="Arial" w:cs="Arial"/>
        </w:rPr>
        <w:t xml:space="preserve"> </w:t>
      </w:r>
      <w:r w:rsidRPr="00113777">
        <w:rPr>
          <w:rFonts w:ascii="Arial" w:hAnsi="Arial" w:cs="Arial"/>
        </w:rPr>
        <w:t>However</w:t>
      </w:r>
      <w:r w:rsidR="00EC1C15" w:rsidRPr="00113777">
        <w:rPr>
          <w:rFonts w:ascii="Arial" w:hAnsi="Arial" w:cs="Arial"/>
        </w:rPr>
        <w:t>,</w:t>
      </w:r>
      <w:r w:rsidRPr="00113777">
        <w:rPr>
          <w:rFonts w:ascii="Arial" w:hAnsi="Arial" w:cs="Arial"/>
        </w:rPr>
        <w:t xml:space="preserve"> m</w:t>
      </w:r>
      <w:r w:rsidR="006C7BC0" w:rsidRPr="00113777">
        <w:rPr>
          <w:rFonts w:ascii="Arial" w:hAnsi="Arial" w:cs="Arial"/>
        </w:rPr>
        <w:t>ost, if not all, school boards still do not have comparable polic</w:t>
      </w:r>
      <w:r w:rsidR="00190591" w:rsidRPr="00113777">
        <w:rPr>
          <w:rFonts w:ascii="Arial" w:hAnsi="Arial" w:cs="Arial"/>
        </w:rPr>
        <w:t>i</w:t>
      </w:r>
      <w:r w:rsidR="006C7BC0" w:rsidRPr="00113777">
        <w:rPr>
          <w:rFonts w:ascii="Arial" w:hAnsi="Arial" w:cs="Arial"/>
        </w:rPr>
        <w:t>es and procedures for students</w:t>
      </w:r>
      <w:r w:rsidR="00E701B0" w:rsidRPr="00113777">
        <w:rPr>
          <w:rFonts w:ascii="Arial" w:hAnsi="Arial" w:cs="Arial"/>
        </w:rPr>
        <w:t xml:space="preserve"> despite the requirements </w:t>
      </w:r>
      <w:r w:rsidR="00DB073C" w:rsidRPr="00113777">
        <w:rPr>
          <w:rFonts w:ascii="Arial" w:hAnsi="Arial" w:cs="Arial"/>
        </w:rPr>
        <w:t>outlined in</w:t>
      </w:r>
      <w:r w:rsidR="00E701B0" w:rsidRPr="00113777">
        <w:rPr>
          <w:rFonts w:ascii="Arial" w:hAnsi="Arial" w:cs="Arial"/>
        </w:rPr>
        <w:t xml:space="preserve"> PPM 119</w:t>
      </w:r>
      <w:r w:rsidR="006C7BC0" w:rsidRPr="00113777">
        <w:rPr>
          <w:rFonts w:ascii="Arial" w:hAnsi="Arial" w:cs="Arial"/>
        </w:rPr>
        <w:t xml:space="preserve">. </w:t>
      </w:r>
      <w:r w:rsidR="0023173E" w:rsidRPr="00113777">
        <w:rPr>
          <w:rFonts w:ascii="Arial" w:hAnsi="Arial" w:cs="Arial"/>
        </w:rPr>
        <w:t xml:space="preserve">Rather, students and their families are generally directed </w:t>
      </w:r>
      <w:r w:rsidR="004C045F" w:rsidRPr="00113777">
        <w:rPr>
          <w:rFonts w:ascii="Arial" w:hAnsi="Arial" w:cs="Arial"/>
        </w:rPr>
        <w:t>to discuss any complaints</w:t>
      </w:r>
      <w:r w:rsidR="0012370F" w:rsidRPr="00113777">
        <w:rPr>
          <w:rFonts w:ascii="Arial" w:hAnsi="Arial" w:cs="Arial"/>
        </w:rPr>
        <w:t xml:space="preserve"> </w:t>
      </w:r>
      <w:r w:rsidR="0023173E" w:rsidRPr="00113777">
        <w:rPr>
          <w:rFonts w:ascii="Arial" w:hAnsi="Arial" w:cs="Arial"/>
        </w:rPr>
        <w:t xml:space="preserve">with the teacher, then the principal, then </w:t>
      </w:r>
      <w:r w:rsidR="00506F92" w:rsidRPr="00113777">
        <w:rPr>
          <w:rFonts w:ascii="Arial" w:hAnsi="Arial" w:cs="Arial"/>
        </w:rPr>
        <w:t xml:space="preserve">the superintendent, </w:t>
      </w:r>
      <w:r w:rsidR="00897B8A" w:rsidRPr="00113777">
        <w:rPr>
          <w:rFonts w:ascii="Arial" w:hAnsi="Arial" w:cs="Arial"/>
        </w:rPr>
        <w:t>and so on.</w:t>
      </w:r>
      <w:r w:rsidR="00175549" w:rsidRPr="00113777">
        <w:rPr>
          <w:rFonts w:ascii="Arial" w:hAnsi="Arial" w:cs="Arial"/>
        </w:rPr>
        <w:t xml:space="preserve"> For the Ministry to now propose </w:t>
      </w:r>
      <w:r w:rsidR="00175549" w:rsidRPr="00113777">
        <w:rPr>
          <w:rFonts w:ascii="Arial" w:hAnsi="Arial" w:cs="Arial"/>
          <w:i/>
          <w:iCs/>
          <w:u w:val="single"/>
        </w:rPr>
        <w:t>voluntary</w:t>
      </w:r>
      <w:r w:rsidR="00175549" w:rsidRPr="00113777">
        <w:rPr>
          <w:rFonts w:ascii="Arial" w:hAnsi="Arial" w:cs="Arial"/>
        </w:rPr>
        <w:t xml:space="preserve"> guidance for “requirements” that have never truly been “required” </w:t>
      </w:r>
      <w:r w:rsidR="002313A0" w:rsidRPr="00113777">
        <w:rPr>
          <w:rFonts w:ascii="Arial" w:hAnsi="Arial" w:cs="Arial"/>
        </w:rPr>
        <w:t xml:space="preserve">is disappointing. </w:t>
      </w:r>
    </w:p>
    <w:p w14:paraId="5448F055" w14:textId="77777777" w:rsidR="008608CF" w:rsidRPr="00113777" w:rsidRDefault="00E953D3" w:rsidP="007960C7">
      <w:pPr>
        <w:spacing w:line="480" w:lineRule="auto"/>
        <w:rPr>
          <w:rFonts w:ascii="Arial" w:hAnsi="Arial" w:cs="Arial"/>
        </w:rPr>
      </w:pPr>
      <w:r w:rsidRPr="00113777">
        <w:rPr>
          <w:rFonts w:ascii="Arial" w:hAnsi="Arial" w:cs="Arial"/>
        </w:rPr>
        <w:t xml:space="preserve">It is particularly disappointing </w:t>
      </w:r>
      <w:r w:rsidR="001E1F3A" w:rsidRPr="00113777">
        <w:rPr>
          <w:rFonts w:ascii="Arial" w:hAnsi="Arial" w:cs="Arial"/>
        </w:rPr>
        <w:t>considering</w:t>
      </w:r>
      <w:r w:rsidR="00A04043" w:rsidRPr="00113777">
        <w:rPr>
          <w:rFonts w:ascii="Arial" w:hAnsi="Arial" w:cs="Arial"/>
        </w:rPr>
        <w:t xml:space="preserve"> </w:t>
      </w:r>
      <w:r w:rsidR="000946DE" w:rsidRPr="00113777">
        <w:rPr>
          <w:rFonts w:ascii="Arial" w:hAnsi="Arial" w:cs="Arial"/>
        </w:rPr>
        <w:t>what has transpired since</w:t>
      </w:r>
      <w:r w:rsidR="009506A0" w:rsidRPr="00113777">
        <w:rPr>
          <w:rFonts w:ascii="Arial" w:hAnsi="Arial" w:cs="Arial"/>
        </w:rPr>
        <w:t xml:space="preserve"> 2013. In 2015, the Truth and Reconciliation Commission</w:t>
      </w:r>
      <w:r w:rsidR="00B04F60" w:rsidRPr="00113777">
        <w:rPr>
          <w:rFonts w:ascii="Arial" w:hAnsi="Arial" w:cs="Arial"/>
        </w:rPr>
        <w:t xml:space="preserve"> (TRC)</w:t>
      </w:r>
      <w:r w:rsidR="009506A0" w:rsidRPr="00113777">
        <w:rPr>
          <w:rFonts w:ascii="Arial" w:hAnsi="Arial" w:cs="Arial"/>
        </w:rPr>
        <w:t xml:space="preserve"> concluded and issued 94 Calls to Action</w:t>
      </w:r>
      <w:r w:rsidR="00B5623C" w:rsidRPr="00113777">
        <w:rPr>
          <w:rStyle w:val="FootnoteReference"/>
          <w:rFonts w:ascii="Arial" w:hAnsi="Arial" w:cs="Arial"/>
        </w:rPr>
        <w:footnoteReference w:id="4"/>
      </w:r>
      <w:r w:rsidR="000946DE" w:rsidRPr="00113777">
        <w:rPr>
          <w:rFonts w:ascii="Arial" w:hAnsi="Arial" w:cs="Arial"/>
        </w:rPr>
        <w:t xml:space="preserve">, including </w:t>
      </w:r>
      <w:r w:rsidR="00A73222" w:rsidRPr="00113777">
        <w:rPr>
          <w:rFonts w:ascii="Arial" w:hAnsi="Arial" w:cs="Arial"/>
        </w:rPr>
        <w:t>recommendations for education</w:t>
      </w:r>
      <w:r w:rsidR="00496026" w:rsidRPr="00113777">
        <w:rPr>
          <w:rFonts w:ascii="Arial" w:hAnsi="Arial" w:cs="Arial"/>
        </w:rPr>
        <w:t xml:space="preserve"> that remain </w:t>
      </w:r>
      <w:r w:rsidR="00DB073C" w:rsidRPr="00113777">
        <w:rPr>
          <w:rFonts w:ascii="Arial" w:hAnsi="Arial" w:cs="Arial"/>
        </w:rPr>
        <w:t>unfulfilled</w:t>
      </w:r>
      <w:r w:rsidR="00B82C1F" w:rsidRPr="00113777">
        <w:rPr>
          <w:rFonts w:ascii="Arial" w:hAnsi="Arial" w:cs="Arial"/>
        </w:rPr>
        <w:t xml:space="preserve">. </w:t>
      </w:r>
    </w:p>
    <w:p w14:paraId="0D38C872" w14:textId="2CF0767F" w:rsidR="001C50B1" w:rsidRPr="00113777" w:rsidRDefault="009506A0" w:rsidP="007960C7">
      <w:pPr>
        <w:spacing w:line="480" w:lineRule="auto"/>
        <w:rPr>
          <w:rFonts w:ascii="Arial" w:hAnsi="Arial" w:cs="Arial"/>
        </w:rPr>
      </w:pPr>
      <w:r w:rsidRPr="00113777">
        <w:rPr>
          <w:rFonts w:ascii="Arial" w:hAnsi="Arial" w:cs="Arial"/>
        </w:rPr>
        <w:t xml:space="preserve">In 2017, the Ministry of Education released </w:t>
      </w:r>
      <w:r w:rsidRPr="00113777">
        <w:rPr>
          <w:rFonts w:ascii="Arial" w:hAnsi="Arial" w:cs="Arial"/>
          <w:i/>
          <w:iCs/>
        </w:rPr>
        <w:t>Ontario’s Education Equity Action Plan</w:t>
      </w:r>
      <w:r w:rsidRPr="00113777">
        <w:rPr>
          <w:rFonts w:ascii="Arial" w:hAnsi="Arial" w:cs="Arial"/>
        </w:rPr>
        <w:t>,</w:t>
      </w:r>
      <w:r w:rsidR="003D49EC" w:rsidRPr="00113777">
        <w:rPr>
          <w:rStyle w:val="FootnoteReference"/>
          <w:rFonts w:ascii="Arial" w:hAnsi="Arial" w:cs="Arial"/>
        </w:rPr>
        <w:footnoteReference w:id="5"/>
      </w:r>
      <w:r w:rsidRPr="00113777">
        <w:rPr>
          <w:rFonts w:ascii="Arial" w:hAnsi="Arial" w:cs="Arial"/>
        </w:rPr>
        <w:t xml:space="preserve"> which</w:t>
      </w:r>
      <w:r w:rsidR="00D319A9" w:rsidRPr="00113777">
        <w:rPr>
          <w:rFonts w:ascii="Arial" w:hAnsi="Arial" w:cs="Arial"/>
        </w:rPr>
        <w:t xml:space="preserve"> </w:t>
      </w:r>
      <w:r w:rsidR="00C0238E" w:rsidRPr="00113777">
        <w:rPr>
          <w:rFonts w:ascii="Arial" w:hAnsi="Arial" w:cs="Arial"/>
        </w:rPr>
        <w:t>re</w:t>
      </w:r>
      <w:r w:rsidR="00294427" w:rsidRPr="00113777">
        <w:rPr>
          <w:rFonts w:ascii="Arial" w:hAnsi="Arial" w:cs="Arial"/>
        </w:rPr>
        <w:t>cognized that human rights must be embedded in all aspects of the education system</w:t>
      </w:r>
      <w:r w:rsidR="00FE3473" w:rsidRPr="00113777">
        <w:rPr>
          <w:rFonts w:ascii="Arial" w:hAnsi="Arial" w:cs="Arial"/>
        </w:rPr>
        <w:t xml:space="preserve"> and </w:t>
      </w:r>
      <w:r w:rsidR="00FE3473" w:rsidRPr="00113777">
        <w:rPr>
          <w:rFonts w:ascii="Arial" w:hAnsi="Arial" w:cs="Arial"/>
        </w:rPr>
        <w:lastRenderedPageBreak/>
        <w:t xml:space="preserve">included action items that were responsive to several TRC Calls to Action. </w:t>
      </w:r>
      <w:r w:rsidR="00AE58F7" w:rsidRPr="00113777">
        <w:rPr>
          <w:rFonts w:ascii="Arial" w:hAnsi="Arial" w:cs="Arial"/>
          <w:i/>
          <w:iCs/>
        </w:rPr>
        <w:t>Ontario’s</w:t>
      </w:r>
      <w:r w:rsidR="001323FC" w:rsidRPr="00113777">
        <w:rPr>
          <w:rFonts w:ascii="Arial" w:hAnsi="Arial" w:cs="Arial"/>
          <w:i/>
          <w:iCs/>
        </w:rPr>
        <w:t xml:space="preserve"> </w:t>
      </w:r>
      <w:r w:rsidR="00C327FB" w:rsidRPr="00113777">
        <w:rPr>
          <w:rFonts w:ascii="Arial" w:hAnsi="Arial" w:cs="Arial"/>
          <w:i/>
          <w:iCs/>
        </w:rPr>
        <w:t xml:space="preserve">Education </w:t>
      </w:r>
      <w:r w:rsidR="001323FC" w:rsidRPr="00113777">
        <w:rPr>
          <w:rFonts w:ascii="Arial" w:hAnsi="Arial" w:cs="Arial"/>
          <w:i/>
          <w:iCs/>
        </w:rPr>
        <w:t>Equity Action Plan</w:t>
      </w:r>
      <w:r w:rsidR="001323FC" w:rsidRPr="00113777">
        <w:rPr>
          <w:rFonts w:ascii="Arial" w:hAnsi="Arial" w:cs="Arial"/>
        </w:rPr>
        <w:t xml:space="preserve"> </w:t>
      </w:r>
      <w:r w:rsidR="00294427" w:rsidRPr="00113777">
        <w:rPr>
          <w:rFonts w:ascii="Arial" w:hAnsi="Arial" w:cs="Arial"/>
        </w:rPr>
        <w:t xml:space="preserve">identified </w:t>
      </w:r>
      <w:r w:rsidR="00FE3FEC" w:rsidRPr="00113777">
        <w:rPr>
          <w:rFonts w:ascii="Arial" w:hAnsi="Arial" w:cs="Arial"/>
        </w:rPr>
        <w:t xml:space="preserve">key </w:t>
      </w:r>
      <w:r w:rsidR="006E5083" w:rsidRPr="00113777">
        <w:rPr>
          <w:rFonts w:ascii="Arial" w:hAnsi="Arial" w:cs="Arial"/>
        </w:rPr>
        <w:t>action items</w:t>
      </w:r>
      <w:r w:rsidR="00FE3FEC" w:rsidRPr="00113777">
        <w:rPr>
          <w:rFonts w:ascii="Arial" w:hAnsi="Arial" w:cs="Arial"/>
        </w:rPr>
        <w:t xml:space="preserve"> across four area</w:t>
      </w:r>
      <w:r w:rsidR="006E5083" w:rsidRPr="00113777">
        <w:rPr>
          <w:rFonts w:ascii="Arial" w:hAnsi="Arial" w:cs="Arial"/>
        </w:rPr>
        <w:t>s</w:t>
      </w:r>
      <w:r w:rsidR="00D72D0A" w:rsidRPr="00113777">
        <w:rPr>
          <w:rFonts w:ascii="Arial" w:hAnsi="Arial" w:cs="Arial"/>
        </w:rPr>
        <w:t xml:space="preserve"> </w:t>
      </w:r>
      <w:r w:rsidR="006E5083" w:rsidRPr="00113777">
        <w:rPr>
          <w:rFonts w:ascii="Arial" w:hAnsi="Arial" w:cs="Arial"/>
        </w:rPr>
        <w:t>—</w:t>
      </w:r>
      <w:r w:rsidR="00D72D0A" w:rsidRPr="00113777">
        <w:rPr>
          <w:rFonts w:ascii="Arial" w:hAnsi="Arial" w:cs="Arial"/>
        </w:rPr>
        <w:t xml:space="preserve"> </w:t>
      </w:r>
      <w:r w:rsidR="00294427" w:rsidRPr="00113777">
        <w:rPr>
          <w:rFonts w:ascii="Arial" w:hAnsi="Arial" w:cs="Arial"/>
        </w:rPr>
        <w:t>School and Classroom Practices; Leadership, Governance and Human Resource Practices; Data Collection, Integration and Reporting; and Organizational Culture Chang</w:t>
      </w:r>
      <w:r w:rsidR="006E5083" w:rsidRPr="00113777">
        <w:rPr>
          <w:rFonts w:ascii="Arial" w:hAnsi="Arial" w:cs="Arial"/>
        </w:rPr>
        <w:t>e</w:t>
      </w:r>
      <w:r w:rsidR="008608CF" w:rsidRPr="00113777">
        <w:rPr>
          <w:rFonts w:ascii="Arial" w:hAnsi="Arial" w:cs="Arial"/>
        </w:rPr>
        <w:t xml:space="preserve">. </w:t>
      </w:r>
      <w:r w:rsidR="00FE3473" w:rsidRPr="00113777">
        <w:rPr>
          <w:rFonts w:ascii="Arial" w:hAnsi="Arial" w:cs="Arial"/>
        </w:rPr>
        <w:t>It</w:t>
      </w:r>
      <w:r w:rsidR="009A5BFF" w:rsidRPr="00113777">
        <w:rPr>
          <w:rFonts w:ascii="Arial" w:hAnsi="Arial" w:cs="Arial"/>
        </w:rPr>
        <w:t xml:space="preserve"> included a three-year timetable</w:t>
      </w:r>
      <w:r w:rsidR="00A9730C" w:rsidRPr="00113777">
        <w:rPr>
          <w:rFonts w:ascii="Arial" w:hAnsi="Arial" w:cs="Arial"/>
        </w:rPr>
        <w:t xml:space="preserve"> for achieving specific outcomes and performance measure</w:t>
      </w:r>
      <w:r w:rsidR="00961134" w:rsidRPr="00113777">
        <w:rPr>
          <w:rFonts w:ascii="Arial" w:hAnsi="Arial" w:cs="Arial"/>
        </w:rPr>
        <w:t>s</w:t>
      </w:r>
      <w:r w:rsidR="00AB61C4" w:rsidRPr="00113777">
        <w:rPr>
          <w:rFonts w:ascii="Arial" w:hAnsi="Arial" w:cs="Arial"/>
        </w:rPr>
        <w:t xml:space="preserve">, including requirements </w:t>
      </w:r>
      <w:proofErr w:type="gramStart"/>
      <w:r w:rsidR="00AB61C4" w:rsidRPr="00113777">
        <w:rPr>
          <w:rFonts w:ascii="Arial" w:hAnsi="Arial" w:cs="Arial"/>
        </w:rPr>
        <w:t>in the area of</w:t>
      </w:r>
      <w:proofErr w:type="gramEnd"/>
      <w:r w:rsidR="00AB61C4" w:rsidRPr="00113777">
        <w:rPr>
          <w:rFonts w:ascii="Arial" w:hAnsi="Arial" w:cs="Arial"/>
        </w:rPr>
        <w:t xml:space="preserve"> Leadership, Governance and Human Resource Practices </w:t>
      </w:r>
      <w:r w:rsidR="00503C76" w:rsidRPr="00113777">
        <w:rPr>
          <w:rFonts w:ascii="Arial" w:hAnsi="Arial" w:cs="Arial"/>
        </w:rPr>
        <w:t>for “</w:t>
      </w:r>
      <w:r w:rsidR="00D72D0A" w:rsidRPr="00113777">
        <w:rPr>
          <w:rFonts w:ascii="Arial" w:hAnsi="Arial" w:cs="Arial"/>
        </w:rPr>
        <w:t xml:space="preserve">school </w:t>
      </w:r>
      <w:r w:rsidR="00503C76" w:rsidRPr="00113777">
        <w:rPr>
          <w:rFonts w:ascii="Arial" w:hAnsi="Arial" w:cs="Arial"/>
        </w:rPr>
        <w:t>board s</w:t>
      </w:r>
      <w:r w:rsidR="003D49EC" w:rsidRPr="00113777">
        <w:rPr>
          <w:rFonts w:ascii="Arial" w:hAnsi="Arial" w:cs="Arial"/>
        </w:rPr>
        <w:t>tructures to promote and enforce human rights and equity</w:t>
      </w:r>
      <w:r w:rsidR="00897EE8" w:rsidRPr="00113777">
        <w:rPr>
          <w:rFonts w:ascii="Arial" w:hAnsi="Arial" w:cs="Arial"/>
        </w:rPr>
        <w:t>.</w:t>
      </w:r>
      <w:r w:rsidR="003D49EC" w:rsidRPr="00113777">
        <w:rPr>
          <w:rFonts w:ascii="Arial" w:hAnsi="Arial" w:cs="Arial"/>
        </w:rPr>
        <w:t>”</w:t>
      </w:r>
      <w:r w:rsidR="003D49EC" w:rsidRPr="00113777">
        <w:rPr>
          <w:rStyle w:val="FootnoteReference"/>
          <w:rFonts w:ascii="Arial" w:hAnsi="Arial" w:cs="Arial"/>
        </w:rPr>
        <w:footnoteReference w:id="6"/>
      </w:r>
      <w:r w:rsidR="0042576B" w:rsidRPr="00113777">
        <w:rPr>
          <w:rFonts w:ascii="Arial" w:hAnsi="Arial" w:cs="Arial"/>
        </w:rPr>
        <w:t xml:space="preserve"> </w:t>
      </w:r>
      <w:r w:rsidR="00503C76" w:rsidRPr="00113777">
        <w:rPr>
          <w:rFonts w:ascii="Arial" w:hAnsi="Arial" w:cs="Arial"/>
        </w:rPr>
        <w:t xml:space="preserve">These school board structures </w:t>
      </w:r>
      <w:r w:rsidR="00A62F9E" w:rsidRPr="00113777">
        <w:rPr>
          <w:rFonts w:ascii="Arial" w:hAnsi="Arial" w:cs="Arial"/>
        </w:rPr>
        <w:t>are</w:t>
      </w:r>
      <w:r w:rsidR="00503C76" w:rsidRPr="00113777">
        <w:rPr>
          <w:rFonts w:ascii="Arial" w:hAnsi="Arial" w:cs="Arial"/>
        </w:rPr>
        <w:t xml:space="preserve"> not limited to complaint procedures</w:t>
      </w:r>
      <w:r w:rsidR="00A62F9E" w:rsidRPr="00113777">
        <w:rPr>
          <w:rFonts w:ascii="Arial" w:hAnsi="Arial" w:cs="Arial"/>
        </w:rPr>
        <w:t>. Action items on board polic</w:t>
      </w:r>
      <w:r w:rsidR="00190591" w:rsidRPr="00113777">
        <w:rPr>
          <w:rFonts w:ascii="Arial" w:hAnsi="Arial" w:cs="Arial"/>
        </w:rPr>
        <w:t>i</w:t>
      </w:r>
      <w:r w:rsidR="00A62F9E" w:rsidRPr="00113777">
        <w:rPr>
          <w:rFonts w:ascii="Arial" w:hAnsi="Arial" w:cs="Arial"/>
        </w:rPr>
        <w:t>es for complaint processes are not offered as “voluntary guidance</w:t>
      </w:r>
      <w:r w:rsidR="00897EE8" w:rsidRPr="00113777">
        <w:rPr>
          <w:rFonts w:ascii="Arial" w:hAnsi="Arial" w:cs="Arial"/>
        </w:rPr>
        <w:t>.</w:t>
      </w:r>
      <w:r w:rsidR="00A62F9E" w:rsidRPr="00113777">
        <w:rPr>
          <w:rFonts w:ascii="Arial" w:hAnsi="Arial" w:cs="Arial"/>
        </w:rPr>
        <w:t xml:space="preserve">” </w:t>
      </w:r>
      <w:r w:rsidR="005970BB" w:rsidRPr="00113777">
        <w:rPr>
          <w:rFonts w:ascii="Arial" w:hAnsi="Arial" w:cs="Arial"/>
        </w:rPr>
        <w:t xml:space="preserve">Years later, the </w:t>
      </w:r>
      <w:r w:rsidR="00A76110" w:rsidRPr="00113777">
        <w:rPr>
          <w:rFonts w:ascii="Arial" w:hAnsi="Arial" w:cs="Arial"/>
        </w:rPr>
        <w:t xml:space="preserve">promise of </w:t>
      </w:r>
      <w:r w:rsidR="00A76110" w:rsidRPr="00113777">
        <w:rPr>
          <w:rFonts w:ascii="Arial" w:hAnsi="Arial" w:cs="Arial"/>
          <w:i/>
          <w:iCs/>
        </w:rPr>
        <w:t xml:space="preserve">Ontario’s Education Equity Action Plan </w:t>
      </w:r>
      <w:r w:rsidR="00A76110" w:rsidRPr="00113777">
        <w:rPr>
          <w:rFonts w:ascii="Arial" w:hAnsi="Arial" w:cs="Arial"/>
        </w:rPr>
        <w:t>remains unfulfilled</w:t>
      </w:r>
      <w:r w:rsidR="008108A8" w:rsidRPr="00113777">
        <w:rPr>
          <w:rFonts w:ascii="Arial" w:hAnsi="Arial" w:cs="Arial"/>
        </w:rPr>
        <w:t xml:space="preserve">. It should be reviewed, updated and implemented. </w:t>
      </w:r>
    </w:p>
    <w:p w14:paraId="566E6F8A" w14:textId="6290409A" w:rsidR="00971C06" w:rsidRPr="00113777" w:rsidRDefault="00A40475" w:rsidP="00CC562E">
      <w:pPr>
        <w:spacing w:line="480" w:lineRule="auto"/>
        <w:rPr>
          <w:rFonts w:ascii="Arial" w:hAnsi="Arial" w:cs="Arial"/>
        </w:rPr>
      </w:pPr>
      <w:r w:rsidRPr="00113777">
        <w:rPr>
          <w:rFonts w:ascii="Arial" w:hAnsi="Arial" w:cs="Arial"/>
        </w:rPr>
        <w:t xml:space="preserve">In 2020, </w:t>
      </w:r>
      <w:r w:rsidR="00B82C1F" w:rsidRPr="00113777">
        <w:rPr>
          <w:rFonts w:ascii="Arial" w:hAnsi="Arial" w:cs="Arial"/>
        </w:rPr>
        <w:t>the review of Peel District School Board was released</w:t>
      </w:r>
      <w:r w:rsidR="000D4D3A" w:rsidRPr="00113777">
        <w:rPr>
          <w:rFonts w:ascii="Arial" w:hAnsi="Arial" w:cs="Arial"/>
        </w:rPr>
        <w:t xml:space="preserve"> with directives for </w:t>
      </w:r>
      <w:proofErr w:type="gramStart"/>
      <w:r w:rsidR="000D4D3A" w:rsidRPr="00113777">
        <w:rPr>
          <w:rFonts w:ascii="Arial" w:hAnsi="Arial" w:cs="Arial"/>
        </w:rPr>
        <w:t>implementation</w:t>
      </w:r>
      <w:proofErr w:type="gramEnd"/>
      <w:r w:rsidR="000D4D3A" w:rsidRPr="00113777">
        <w:rPr>
          <w:rFonts w:ascii="Arial" w:hAnsi="Arial" w:cs="Arial"/>
        </w:rPr>
        <w:t xml:space="preserve"> </w:t>
      </w:r>
      <w:r w:rsidR="00F7667A" w:rsidRPr="00113777">
        <w:rPr>
          <w:rFonts w:ascii="Arial" w:hAnsi="Arial" w:cs="Arial"/>
        </w:rPr>
        <w:t>but little follow</w:t>
      </w:r>
      <w:r w:rsidR="00622AC6" w:rsidRPr="00113777">
        <w:rPr>
          <w:rFonts w:ascii="Arial" w:hAnsi="Arial" w:cs="Arial"/>
        </w:rPr>
        <w:t xml:space="preserve"> </w:t>
      </w:r>
      <w:r w:rsidR="00F7667A" w:rsidRPr="00113777">
        <w:rPr>
          <w:rFonts w:ascii="Arial" w:hAnsi="Arial" w:cs="Arial"/>
        </w:rPr>
        <w:t>through. The review was released</w:t>
      </w:r>
      <w:r w:rsidR="00E464C1" w:rsidRPr="00113777">
        <w:rPr>
          <w:rFonts w:ascii="Arial" w:hAnsi="Arial" w:cs="Arial"/>
        </w:rPr>
        <w:t xml:space="preserve"> during</w:t>
      </w:r>
      <w:r w:rsidRPr="00113777">
        <w:rPr>
          <w:rFonts w:ascii="Arial" w:hAnsi="Arial" w:cs="Arial"/>
        </w:rPr>
        <w:t xml:space="preserve"> </w:t>
      </w:r>
      <w:r w:rsidR="00647379" w:rsidRPr="00113777">
        <w:rPr>
          <w:rFonts w:ascii="Arial" w:hAnsi="Arial" w:cs="Arial"/>
        </w:rPr>
        <w:t>a global pandemic that has exposed and exacerbated systemic inequities faced by</w:t>
      </w:r>
      <w:r w:rsidR="00CC562E" w:rsidRPr="00113777">
        <w:rPr>
          <w:rFonts w:ascii="Arial" w:hAnsi="Arial" w:cs="Arial"/>
        </w:rPr>
        <w:t xml:space="preserve"> Black, Indigenous and</w:t>
      </w:r>
      <w:r w:rsidR="00647379" w:rsidRPr="00113777">
        <w:rPr>
          <w:rFonts w:ascii="Arial" w:hAnsi="Arial" w:cs="Arial"/>
        </w:rPr>
        <w:t xml:space="preserve"> </w:t>
      </w:r>
      <w:r w:rsidR="00CC562E" w:rsidRPr="00113777">
        <w:rPr>
          <w:rFonts w:ascii="Arial" w:hAnsi="Arial" w:cs="Arial"/>
        </w:rPr>
        <w:t xml:space="preserve">other </w:t>
      </w:r>
      <w:r w:rsidR="00647379" w:rsidRPr="00113777">
        <w:rPr>
          <w:rFonts w:ascii="Arial" w:hAnsi="Arial" w:cs="Arial"/>
        </w:rPr>
        <w:t xml:space="preserve">marginalized </w:t>
      </w:r>
      <w:r w:rsidR="00613CE4" w:rsidRPr="00113777">
        <w:rPr>
          <w:rFonts w:ascii="Arial" w:hAnsi="Arial" w:cs="Arial"/>
        </w:rPr>
        <w:t>communities</w:t>
      </w:r>
      <w:r w:rsidR="00572CB8" w:rsidRPr="00113777">
        <w:rPr>
          <w:rFonts w:ascii="Arial" w:hAnsi="Arial" w:cs="Arial"/>
        </w:rPr>
        <w:t xml:space="preserve">. Those systemic inequities </w:t>
      </w:r>
      <w:r w:rsidR="0018467E" w:rsidRPr="00113777">
        <w:rPr>
          <w:rFonts w:ascii="Arial" w:hAnsi="Arial" w:cs="Arial"/>
        </w:rPr>
        <w:t xml:space="preserve">became the catalysts for </w:t>
      </w:r>
      <w:r w:rsidR="00EE577E" w:rsidRPr="00113777">
        <w:rPr>
          <w:rFonts w:ascii="Arial" w:hAnsi="Arial" w:cs="Arial"/>
        </w:rPr>
        <w:t>local, national and global protes</w:t>
      </w:r>
      <w:r w:rsidR="008E4230" w:rsidRPr="00113777">
        <w:rPr>
          <w:rFonts w:ascii="Arial" w:hAnsi="Arial" w:cs="Arial"/>
        </w:rPr>
        <w:t>ts</w:t>
      </w:r>
      <w:r w:rsidR="00EE577E" w:rsidRPr="00113777">
        <w:rPr>
          <w:rFonts w:ascii="Arial" w:hAnsi="Arial" w:cs="Arial"/>
        </w:rPr>
        <w:t xml:space="preserve">. </w:t>
      </w:r>
      <w:r w:rsidR="00971C06" w:rsidRPr="00113777">
        <w:rPr>
          <w:rFonts w:ascii="Arial" w:hAnsi="Arial" w:cs="Arial"/>
        </w:rPr>
        <w:t>With rallying cries of “Black Lives Matter” and “Every Child Matters”, people around the province and the world have</w:t>
      </w:r>
      <w:r w:rsidR="00A81766" w:rsidRPr="00113777">
        <w:rPr>
          <w:rFonts w:ascii="Arial" w:hAnsi="Arial" w:cs="Arial"/>
        </w:rPr>
        <w:t xml:space="preserve"> repeatedly</w:t>
      </w:r>
      <w:r w:rsidR="00971C06" w:rsidRPr="00113777">
        <w:rPr>
          <w:rFonts w:ascii="Arial" w:hAnsi="Arial" w:cs="Arial"/>
        </w:rPr>
        <w:t xml:space="preserve"> taken to </w:t>
      </w:r>
      <w:r w:rsidR="00622AC6" w:rsidRPr="00113777">
        <w:rPr>
          <w:rFonts w:ascii="Arial" w:hAnsi="Arial" w:cs="Arial"/>
        </w:rPr>
        <w:t xml:space="preserve">the </w:t>
      </w:r>
      <w:r w:rsidR="00971C06" w:rsidRPr="00113777">
        <w:rPr>
          <w:rFonts w:ascii="Arial" w:hAnsi="Arial" w:cs="Arial"/>
        </w:rPr>
        <w:t>streets to collectively mourn lives lost to racism and colonialism</w:t>
      </w:r>
      <w:r w:rsidR="00A81766" w:rsidRPr="00113777">
        <w:rPr>
          <w:rFonts w:ascii="Arial" w:hAnsi="Arial" w:cs="Arial"/>
        </w:rPr>
        <w:t>,</w:t>
      </w:r>
      <w:r w:rsidR="00971C06" w:rsidRPr="00113777">
        <w:rPr>
          <w:rFonts w:ascii="Arial" w:hAnsi="Arial" w:cs="Arial"/>
        </w:rPr>
        <w:t xml:space="preserve"> and to urgently demand action and accountability.</w:t>
      </w:r>
      <w:r w:rsidR="00C42233" w:rsidRPr="00113777">
        <w:rPr>
          <w:rFonts w:ascii="Arial" w:hAnsi="Arial" w:cs="Arial"/>
        </w:rPr>
        <w:t xml:space="preserve"> </w:t>
      </w:r>
    </w:p>
    <w:p w14:paraId="65B9EED3" w14:textId="2996EADA" w:rsidR="00647379" w:rsidRPr="00113777" w:rsidRDefault="006916B2" w:rsidP="00647379">
      <w:pPr>
        <w:spacing w:line="480" w:lineRule="auto"/>
        <w:rPr>
          <w:rFonts w:ascii="Arial" w:hAnsi="Arial" w:cs="Arial"/>
        </w:rPr>
      </w:pPr>
      <w:r w:rsidRPr="00113777">
        <w:rPr>
          <w:rFonts w:ascii="Arial" w:hAnsi="Arial" w:cs="Arial"/>
        </w:rPr>
        <w:t xml:space="preserve">Last October, ETFO joined many </w:t>
      </w:r>
      <w:r w:rsidR="00C13947" w:rsidRPr="00113777">
        <w:rPr>
          <w:rFonts w:ascii="Arial" w:hAnsi="Arial" w:cs="Arial"/>
        </w:rPr>
        <w:t xml:space="preserve">other organizations in calling on the Ministry of Education to take concrete measures to </w:t>
      </w:r>
      <w:r w:rsidR="00EA4682" w:rsidRPr="00113777">
        <w:rPr>
          <w:rFonts w:ascii="Arial" w:hAnsi="Arial" w:cs="Arial"/>
        </w:rPr>
        <w:t xml:space="preserve">address anti-Black and anti-Indigenous racism </w:t>
      </w:r>
      <w:r w:rsidR="00D72D0A" w:rsidRPr="00113777">
        <w:rPr>
          <w:rFonts w:ascii="Arial" w:hAnsi="Arial" w:cs="Arial"/>
        </w:rPr>
        <w:t xml:space="preserve">in </w:t>
      </w:r>
      <w:r w:rsidR="00EA4682" w:rsidRPr="00113777">
        <w:rPr>
          <w:rFonts w:ascii="Arial" w:hAnsi="Arial" w:cs="Arial"/>
        </w:rPr>
        <w:t>public education</w:t>
      </w:r>
      <w:r w:rsidR="00572CB8" w:rsidRPr="00113777">
        <w:rPr>
          <w:rFonts w:ascii="Arial" w:hAnsi="Arial" w:cs="Arial"/>
        </w:rPr>
        <w:t xml:space="preserve">. </w:t>
      </w:r>
      <w:r w:rsidR="00A81766" w:rsidRPr="00113777">
        <w:rPr>
          <w:rFonts w:ascii="Arial" w:hAnsi="Arial" w:cs="Arial"/>
        </w:rPr>
        <w:t xml:space="preserve">This call </w:t>
      </w:r>
      <w:r w:rsidR="003A6780" w:rsidRPr="00113777">
        <w:rPr>
          <w:rFonts w:ascii="Arial" w:hAnsi="Arial" w:cs="Arial"/>
        </w:rPr>
        <w:t>included</w:t>
      </w:r>
      <w:r w:rsidR="00A81766" w:rsidRPr="00113777">
        <w:rPr>
          <w:rFonts w:ascii="Arial" w:hAnsi="Arial" w:cs="Arial"/>
        </w:rPr>
        <w:t xml:space="preserve"> </w:t>
      </w:r>
      <w:r w:rsidR="001A54DC" w:rsidRPr="00113777">
        <w:rPr>
          <w:rFonts w:ascii="Arial" w:hAnsi="Arial" w:cs="Arial"/>
        </w:rPr>
        <w:t>a total revision of the curriculum</w:t>
      </w:r>
      <w:r w:rsidR="008868B3" w:rsidRPr="00113777">
        <w:rPr>
          <w:rFonts w:ascii="Arial" w:hAnsi="Arial" w:cs="Arial"/>
        </w:rPr>
        <w:t xml:space="preserve"> in consultation with Black and Indigenous communities</w:t>
      </w:r>
      <w:r w:rsidR="00A81766" w:rsidRPr="00113777">
        <w:rPr>
          <w:rFonts w:ascii="Arial" w:hAnsi="Arial" w:cs="Arial"/>
        </w:rPr>
        <w:t>. It also include</w:t>
      </w:r>
      <w:r w:rsidR="003A6780" w:rsidRPr="00113777">
        <w:rPr>
          <w:rFonts w:ascii="Arial" w:hAnsi="Arial" w:cs="Arial"/>
        </w:rPr>
        <w:t>d</w:t>
      </w:r>
      <w:r w:rsidR="00A81766" w:rsidRPr="00113777">
        <w:rPr>
          <w:rFonts w:ascii="Arial" w:hAnsi="Arial" w:cs="Arial"/>
        </w:rPr>
        <w:t xml:space="preserve"> </w:t>
      </w:r>
      <w:r w:rsidR="00763F94" w:rsidRPr="00113777">
        <w:rPr>
          <w:rFonts w:ascii="Arial" w:hAnsi="Arial" w:cs="Arial"/>
        </w:rPr>
        <w:t>a requirement that all school boards take an anti-racis</w:t>
      </w:r>
      <w:r w:rsidR="00A96E4C" w:rsidRPr="00113777">
        <w:rPr>
          <w:rFonts w:ascii="Arial" w:hAnsi="Arial" w:cs="Arial"/>
        </w:rPr>
        <w:t>t</w:t>
      </w:r>
      <w:r w:rsidR="00763F94" w:rsidRPr="00113777">
        <w:rPr>
          <w:rFonts w:ascii="Arial" w:hAnsi="Arial" w:cs="Arial"/>
        </w:rPr>
        <w:t xml:space="preserve"> approach by beginning to </w:t>
      </w:r>
      <w:r w:rsidR="00763F94" w:rsidRPr="00113777">
        <w:rPr>
          <w:rFonts w:ascii="Arial" w:hAnsi="Arial" w:cs="Arial"/>
        </w:rPr>
        <w:lastRenderedPageBreak/>
        <w:t>collect disaggregated race-based student data by the end of 2021</w:t>
      </w:r>
      <w:r w:rsidR="00A61224" w:rsidRPr="00113777">
        <w:rPr>
          <w:rFonts w:ascii="Arial" w:hAnsi="Arial" w:cs="Arial"/>
        </w:rPr>
        <w:t>,</w:t>
      </w:r>
      <w:r w:rsidR="00763F94" w:rsidRPr="00113777">
        <w:rPr>
          <w:rFonts w:ascii="Arial" w:hAnsi="Arial" w:cs="Arial"/>
        </w:rPr>
        <w:t xml:space="preserve"> and that the province ensure there is a standardized collection of data across </w:t>
      </w:r>
      <w:r w:rsidR="00A96E4C" w:rsidRPr="00113777">
        <w:rPr>
          <w:rFonts w:ascii="Arial" w:hAnsi="Arial" w:cs="Arial"/>
        </w:rPr>
        <w:t xml:space="preserve">all </w:t>
      </w:r>
      <w:r w:rsidR="00763F94" w:rsidRPr="00113777">
        <w:rPr>
          <w:rFonts w:ascii="Arial" w:hAnsi="Arial" w:cs="Arial"/>
        </w:rPr>
        <w:t>school boards.</w:t>
      </w:r>
      <w:r w:rsidR="007849BB" w:rsidRPr="00113777">
        <w:rPr>
          <w:rStyle w:val="FootnoteReference"/>
          <w:rFonts w:ascii="Arial" w:hAnsi="Arial" w:cs="Arial"/>
        </w:rPr>
        <w:footnoteReference w:id="7"/>
      </w:r>
      <w:r w:rsidR="00785D99" w:rsidRPr="00113777">
        <w:rPr>
          <w:rFonts w:ascii="Arial" w:hAnsi="Arial" w:cs="Arial"/>
        </w:rPr>
        <w:t xml:space="preserve"> N</w:t>
      </w:r>
      <w:r w:rsidR="002849DE" w:rsidRPr="00113777">
        <w:rPr>
          <w:rFonts w:ascii="Arial" w:hAnsi="Arial" w:cs="Arial"/>
        </w:rPr>
        <w:t>oting that there have been many reviews and reports with countless recommendations over the years that have still not been implemented</w:t>
      </w:r>
      <w:r w:rsidR="00785D99" w:rsidRPr="00113777">
        <w:rPr>
          <w:rFonts w:ascii="Arial" w:hAnsi="Arial" w:cs="Arial"/>
        </w:rPr>
        <w:t xml:space="preserve">, the letter called on the Minister of Education to implement the 27 directives issued to the Peel </w:t>
      </w:r>
      <w:r w:rsidR="000D365D" w:rsidRPr="00113777">
        <w:rPr>
          <w:rFonts w:ascii="Arial" w:hAnsi="Arial" w:cs="Arial"/>
        </w:rPr>
        <w:t>District School Board</w:t>
      </w:r>
      <w:r w:rsidR="00785D99" w:rsidRPr="00113777">
        <w:rPr>
          <w:rFonts w:ascii="Arial" w:hAnsi="Arial" w:cs="Arial"/>
        </w:rPr>
        <w:t xml:space="preserve"> </w:t>
      </w:r>
      <w:r w:rsidR="0052095C" w:rsidRPr="00113777">
        <w:rPr>
          <w:rFonts w:ascii="Arial" w:hAnsi="Arial" w:cs="Arial"/>
        </w:rPr>
        <w:t>in</w:t>
      </w:r>
      <w:r w:rsidR="00785D99" w:rsidRPr="00113777">
        <w:rPr>
          <w:rFonts w:ascii="Arial" w:hAnsi="Arial" w:cs="Arial"/>
        </w:rPr>
        <w:t xml:space="preserve"> all other school boards.</w:t>
      </w:r>
    </w:p>
    <w:p w14:paraId="290C11DC" w14:textId="35C6B6B5" w:rsidR="00647379" w:rsidRPr="00113777" w:rsidRDefault="006A46C1" w:rsidP="00C13947">
      <w:pPr>
        <w:spacing w:line="480" w:lineRule="auto"/>
        <w:rPr>
          <w:rFonts w:ascii="Arial" w:hAnsi="Arial" w:cs="Arial"/>
        </w:rPr>
      </w:pPr>
      <w:r w:rsidRPr="00113777">
        <w:rPr>
          <w:rFonts w:ascii="Arial" w:hAnsi="Arial" w:cs="Arial"/>
        </w:rPr>
        <w:t xml:space="preserve">In </w:t>
      </w:r>
      <w:r w:rsidR="007D78C7" w:rsidRPr="00113777">
        <w:rPr>
          <w:rFonts w:ascii="Arial" w:hAnsi="Arial" w:cs="Arial"/>
        </w:rPr>
        <w:t>February 2021, ETFO</w:t>
      </w:r>
      <w:r w:rsidR="00E126DA" w:rsidRPr="00113777">
        <w:rPr>
          <w:rFonts w:ascii="Arial" w:hAnsi="Arial" w:cs="Arial"/>
        </w:rPr>
        <w:t xml:space="preserve"> wrote to the Solicitor General and Minister of Education reiterating the need for an accelerated timeline for the </w:t>
      </w:r>
      <w:r w:rsidR="00DF74B4" w:rsidRPr="00113777">
        <w:rPr>
          <w:rFonts w:ascii="Arial" w:hAnsi="Arial" w:cs="Arial"/>
        </w:rPr>
        <w:t>collection of disaggregated race-based data</w:t>
      </w:r>
      <w:r w:rsidR="00E126DA" w:rsidRPr="00113777">
        <w:rPr>
          <w:rFonts w:ascii="Arial" w:hAnsi="Arial" w:cs="Arial"/>
        </w:rPr>
        <w:t>.</w:t>
      </w:r>
      <w:r w:rsidR="00BC165D" w:rsidRPr="00113777">
        <w:rPr>
          <w:rStyle w:val="FootnoteReference"/>
          <w:rFonts w:ascii="Arial" w:hAnsi="Arial" w:cs="Arial"/>
        </w:rPr>
        <w:footnoteReference w:id="8"/>
      </w:r>
      <w:r w:rsidR="00E126DA" w:rsidRPr="00113777">
        <w:rPr>
          <w:rFonts w:ascii="Arial" w:hAnsi="Arial" w:cs="Arial"/>
        </w:rPr>
        <w:t xml:space="preserve"> ETFO also requested a joint meeting </w:t>
      </w:r>
      <w:r w:rsidR="00B2610E" w:rsidRPr="00113777">
        <w:rPr>
          <w:rFonts w:ascii="Arial" w:hAnsi="Arial" w:cs="Arial"/>
        </w:rPr>
        <w:t>with both Ministries on the timeline and</w:t>
      </w:r>
      <w:r w:rsidR="005D2E3B" w:rsidRPr="00113777">
        <w:rPr>
          <w:rFonts w:ascii="Arial" w:hAnsi="Arial" w:cs="Arial"/>
        </w:rPr>
        <w:t xml:space="preserve"> standards for the collection of race-based data, including</w:t>
      </w:r>
      <w:r w:rsidR="008800A3" w:rsidRPr="00113777">
        <w:rPr>
          <w:rFonts w:ascii="Arial" w:hAnsi="Arial" w:cs="Arial"/>
        </w:rPr>
        <w:t xml:space="preserve"> requirements</w:t>
      </w:r>
      <w:r w:rsidR="005D2E3B" w:rsidRPr="00113777">
        <w:rPr>
          <w:rFonts w:ascii="Arial" w:hAnsi="Arial" w:cs="Arial"/>
        </w:rPr>
        <w:t xml:space="preserve"> </w:t>
      </w:r>
      <w:r w:rsidR="008800A3" w:rsidRPr="00113777">
        <w:rPr>
          <w:rFonts w:ascii="Arial" w:hAnsi="Arial" w:cs="Arial"/>
        </w:rPr>
        <w:t>that school board data include all employees and their positions and be publicly available</w:t>
      </w:r>
      <w:r w:rsidR="00391376" w:rsidRPr="00113777">
        <w:rPr>
          <w:rFonts w:ascii="Arial" w:hAnsi="Arial" w:cs="Arial"/>
        </w:rPr>
        <w:t>, and</w:t>
      </w:r>
      <w:r w:rsidR="00544BBF" w:rsidRPr="00113777">
        <w:rPr>
          <w:rFonts w:ascii="Arial" w:hAnsi="Arial" w:cs="Arial"/>
        </w:rPr>
        <w:t xml:space="preserve"> requirements for professional development for all</w:t>
      </w:r>
      <w:r w:rsidR="00456006" w:rsidRPr="00113777">
        <w:rPr>
          <w:rFonts w:ascii="Arial" w:hAnsi="Arial" w:cs="Arial"/>
        </w:rPr>
        <w:t xml:space="preserve"> administrators, school board trustees and teacher candidates.</w:t>
      </w:r>
      <w:r w:rsidR="007A0D25" w:rsidRPr="00113777">
        <w:rPr>
          <w:rFonts w:ascii="Arial" w:hAnsi="Arial" w:cs="Arial"/>
        </w:rPr>
        <w:t xml:space="preserve"> Both Ministries have yet to respond to ETFO’s requests.</w:t>
      </w:r>
    </w:p>
    <w:p w14:paraId="4F15EC67" w14:textId="1D0918A1" w:rsidR="004104CF" w:rsidRPr="00113777" w:rsidRDefault="007A2CF0" w:rsidP="004104CF">
      <w:pPr>
        <w:spacing w:line="480" w:lineRule="auto"/>
        <w:rPr>
          <w:rFonts w:ascii="Arial" w:hAnsi="Arial" w:cs="Arial"/>
        </w:rPr>
      </w:pPr>
      <w:r w:rsidRPr="00113777">
        <w:rPr>
          <w:rFonts w:ascii="Arial" w:hAnsi="Arial" w:cs="Arial"/>
        </w:rPr>
        <w:t>By proposing</w:t>
      </w:r>
      <w:r w:rsidR="00F441DD" w:rsidRPr="00113777">
        <w:rPr>
          <w:rFonts w:ascii="Arial" w:hAnsi="Arial" w:cs="Arial"/>
        </w:rPr>
        <w:t xml:space="preserve"> voluntary </w:t>
      </w:r>
      <w:r w:rsidRPr="00113777">
        <w:rPr>
          <w:rFonts w:ascii="Arial" w:hAnsi="Arial" w:cs="Arial"/>
        </w:rPr>
        <w:t>guidance to school boards on complaint processes</w:t>
      </w:r>
      <w:r w:rsidR="006D0BAC" w:rsidRPr="00113777">
        <w:rPr>
          <w:rFonts w:ascii="Arial" w:hAnsi="Arial" w:cs="Arial"/>
        </w:rPr>
        <w:t xml:space="preserve">, </w:t>
      </w:r>
      <w:r w:rsidRPr="00113777">
        <w:rPr>
          <w:rFonts w:ascii="Arial" w:hAnsi="Arial" w:cs="Arial"/>
        </w:rPr>
        <w:t xml:space="preserve">the Ministry is not responding to the urgency of the times </w:t>
      </w:r>
      <w:r w:rsidR="00256C54" w:rsidRPr="00113777">
        <w:rPr>
          <w:rFonts w:ascii="Arial" w:hAnsi="Arial" w:cs="Arial"/>
        </w:rPr>
        <w:t xml:space="preserve">nor </w:t>
      </w:r>
      <w:r w:rsidR="00035249" w:rsidRPr="00113777">
        <w:rPr>
          <w:rFonts w:ascii="Arial" w:hAnsi="Arial" w:cs="Arial"/>
        </w:rPr>
        <w:t>following its own polic</w:t>
      </w:r>
      <w:r w:rsidR="00960D0A" w:rsidRPr="00113777">
        <w:rPr>
          <w:rFonts w:ascii="Arial" w:hAnsi="Arial" w:cs="Arial"/>
        </w:rPr>
        <w:t xml:space="preserve">y. </w:t>
      </w:r>
      <w:r w:rsidR="00793F23" w:rsidRPr="00113777">
        <w:rPr>
          <w:rFonts w:ascii="Arial" w:hAnsi="Arial" w:cs="Arial"/>
        </w:rPr>
        <w:t xml:space="preserve">It is </w:t>
      </w:r>
      <w:r w:rsidR="00B2028C" w:rsidRPr="00113777">
        <w:rPr>
          <w:rFonts w:ascii="Arial" w:hAnsi="Arial" w:cs="Arial"/>
        </w:rPr>
        <w:t xml:space="preserve">also </w:t>
      </w:r>
      <w:r w:rsidR="00793F23" w:rsidRPr="00113777">
        <w:rPr>
          <w:rFonts w:ascii="Arial" w:hAnsi="Arial" w:cs="Arial"/>
        </w:rPr>
        <w:t xml:space="preserve">not responding </w:t>
      </w:r>
      <w:r w:rsidR="0033151B" w:rsidRPr="00113777">
        <w:rPr>
          <w:rFonts w:ascii="Arial" w:hAnsi="Arial" w:cs="Arial"/>
        </w:rPr>
        <w:t xml:space="preserve">to </w:t>
      </w:r>
      <w:r w:rsidR="00793F23" w:rsidRPr="00113777">
        <w:rPr>
          <w:rFonts w:ascii="Arial" w:hAnsi="Arial" w:cs="Arial"/>
        </w:rPr>
        <w:t>the repeated requests by ETFO and other organizations for immediate and concrete action.</w:t>
      </w:r>
      <w:r w:rsidR="0077038A" w:rsidRPr="00113777">
        <w:rPr>
          <w:rFonts w:ascii="Arial" w:hAnsi="Arial" w:cs="Arial"/>
        </w:rPr>
        <w:t xml:space="preserve"> </w:t>
      </w:r>
      <w:r w:rsidR="0099799F" w:rsidRPr="00113777">
        <w:rPr>
          <w:rFonts w:ascii="Arial" w:hAnsi="Arial" w:cs="Arial"/>
        </w:rPr>
        <w:t xml:space="preserve">In recognition that the work for equity in education must be proactive, </w:t>
      </w:r>
      <w:r w:rsidR="00960D0A" w:rsidRPr="00113777">
        <w:rPr>
          <w:rFonts w:ascii="Arial" w:hAnsi="Arial" w:cs="Arial"/>
        </w:rPr>
        <w:t>strategic, systemic, appropriately funded</w:t>
      </w:r>
      <w:r w:rsidR="0033151B" w:rsidRPr="00113777">
        <w:rPr>
          <w:rFonts w:ascii="Arial" w:hAnsi="Arial" w:cs="Arial"/>
        </w:rPr>
        <w:t xml:space="preserve"> and resourced, and include</w:t>
      </w:r>
      <w:r w:rsidR="00960D0A" w:rsidRPr="00113777">
        <w:rPr>
          <w:rFonts w:ascii="Arial" w:hAnsi="Arial" w:cs="Arial"/>
        </w:rPr>
        <w:t xml:space="preserve"> accountability processes, ETFO recommends that the Ministry of Education: </w:t>
      </w:r>
    </w:p>
    <w:p w14:paraId="171B1033" w14:textId="77777777" w:rsidR="006D08CE" w:rsidRPr="00113777" w:rsidRDefault="00762D35" w:rsidP="00A33FF7">
      <w:pPr>
        <w:pStyle w:val="ListParagraph"/>
        <w:numPr>
          <w:ilvl w:val="0"/>
          <w:numId w:val="2"/>
        </w:numPr>
        <w:spacing w:line="480" w:lineRule="auto"/>
        <w:rPr>
          <w:rFonts w:ascii="Arial" w:hAnsi="Arial" w:cs="Arial"/>
        </w:rPr>
      </w:pPr>
      <w:r w:rsidRPr="00113777">
        <w:rPr>
          <w:rFonts w:ascii="Arial" w:hAnsi="Arial" w:cs="Arial"/>
        </w:rPr>
        <w:t>Review</w:t>
      </w:r>
      <w:r w:rsidR="002B53B8" w:rsidRPr="00113777">
        <w:rPr>
          <w:rFonts w:ascii="Arial" w:hAnsi="Arial" w:cs="Arial"/>
        </w:rPr>
        <w:t xml:space="preserve">, revise, and implement </w:t>
      </w:r>
      <w:r w:rsidR="002B53B8" w:rsidRPr="00113777">
        <w:rPr>
          <w:rFonts w:ascii="Arial" w:hAnsi="Arial" w:cs="Arial"/>
          <w:i/>
          <w:iCs/>
        </w:rPr>
        <w:t>Ontario’s Education Equity Action Plan</w:t>
      </w:r>
      <w:r w:rsidR="0033151B" w:rsidRPr="00113777">
        <w:rPr>
          <w:rFonts w:ascii="Arial" w:hAnsi="Arial" w:cs="Arial"/>
          <w:i/>
          <w:iCs/>
        </w:rPr>
        <w:t>.</w:t>
      </w:r>
    </w:p>
    <w:p w14:paraId="044933C5" w14:textId="77777777" w:rsidR="00866B14" w:rsidRPr="00113777" w:rsidRDefault="00762D35" w:rsidP="00A33FF7">
      <w:pPr>
        <w:pStyle w:val="ListParagraph"/>
        <w:numPr>
          <w:ilvl w:val="0"/>
          <w:numId w:val="2"/>
        </w:numPr>
        <w:spacing w:line="480" w:lineRule="auto"/>
        <w:rPr>
          <w:rFonts w:ascii="Arial" w:hAnsi="Arial" w:cs="Arial"/>
        </w:rPr>
      </w:pPr>
      <w:r w:rsidRPr="00113777">
        <w:rPr>
          <w:rFonts w:ascii="Arial" w:hAnsi="Arial" w:cs="Arial"/>
        </w:rPr>
        <w:t xml:space="preserve">Attach roll-out </w:t>
      </w:r>
      <w:r w:rsidR="0033151B" w:rsidRPr="00113777">
        <w:rPr>
          <w:rFonts w:ascii="Arial" w:hAnsi="Arial" w:cs="Arial"/>
        </w:rPr>
        <w:t xml:space="preserve">funding </w:t>
      </w:r>
      <w:r w:rsidRPr="00113777">
        <w:rPr>
          <w:rFonts w:ascii="Arial" w:hAnsi="Arial" w:cs="Arial"/>
        </w:rPr>
        <w:t>to ensure that school boards include</w:t>
      </w:r>
      <w:r w:rsidR="008A29C4" w:rsidRPr="00113777">
        <w:rPr>
          <w:rFonts w:ascii="Arial" w:hAnsi="Arial" w:cs="Arial"/>
        </w:rPr>
        <w:t xml:space="preserve"> </w:t>
      </w:r>
      <w:r w:rsidR="002B53B8" w:rsidRPr="00113777">
        <w:rPr>
          <w:rFonts w:ascii="Arial" w:hAnsi="Arial" w:cs="Arial"/>
          <w:i/>
          <w:iCs/>
        </w:rPr>
        <w:t xml:space="preserve">Ontario’s Education Equity Action Plan </w:t>
      </w:r>
      <w:r w:rsidR="002B53B8" w:rsidRPr="00113777">
        <w:rPr>
          <w:rFonts w:ascii="Arial" w:hAnsi="Arial" w:cs="Arial"/>
        </w:rPr>
        <w:t xml:space="preserve">requirements </w:t>
      </w:r>
      <w:r w:rsidR="000860C6" w:rsidRPr="00113777">
        <w:rPr>
          <w:rFonts w:ascii="Arial" w:hAnsi="Arial" w:cs="Arial"/>
        </w:rPr>
        <w:t>as part of</w:t>
      </w:r>
      <w:r w:rsidRPr="00113777">
        <w:rPr>
          <w:rFonts w:ascii="Arial" w:hAnsi="Arial" w:cs="Arial"/>
        </w:rPr>
        <w:t xml:space="preserve"> their Board Improvement </w:t>
      </w:r>
      <w:r w:rsidR="00185A38" w:rsidRPr="00113777">
        <w:rPr>
          <w:rFonts w:ascii="Arial" w:hAnsi="Arial" w:cs="Arial"/>
        </w:rPr>
        <w:t xml:space="preserve">Plans for Student </w:t>
      </w:r>
      <w:r w:rsidR="00185A38" w:rsidRPr="00113777">
        <w:rPr>
          <w:rFonts w:ascii="Arial" w:hAnsi="Arial" w:cs="Arial"/>
        </w:rPr>
        <w:lastRenderedPageBreak/>
        <w:t>Achievement and Well-Being (BIPSAs)</w:t>
      </w:r>
      <w:r w:rsidR="000860C6" w:rsidRPr="00113777">
        <w:rPr>
          <w:rFonts w:ascii="Arial" w:hAnsi="Arial" w:cs="Arial"/>
        </w:rPr>
        <w:t>; School Improvement Plans for Student Achievement and Well-Being (SIPSAs); and board multi-year strategic plans</w:t>
      </w:r>
      <w:r w:rsidR="00A63018" w:rsidRPr="00113777">
        <w:rPr>
          <w:rFonts w:ascii="Arial" w:hAnsi="Arial" w:cs="Arial"/>
        </w:rPr>
        <w:t xml:space="preserve">. </w:t>
      </w:r>
    </w:p>
    <w:p w14:paraId="0753CBBC" w14:textId="01028DFE" w:rsidR="003F6485" w:rsidRPr="00113777" w:rsidRDefault="00A63018" w:rsidP="00A33FF7">
      <w:pPr>
        <w:pStyle w:val="ListParagraph"/>
        <w:numPr>
          <w:ilvl w:val="0"/>
          <w:numId w:val="2"/>
        </w:numPr>
        <w:spacing w:line="480" w:lineRule="auto"/>
        <w:rPr>
          <w:rFonts w:ascii="Arial" w:hAnsi="Arial" w:cs="Arial"/>
        </w:rPr>
      </w:pPr>
      <w:r w:rsidRPr="00113777">
        <w:rPr>
          <w:rFonts w:ascii="Arial" w:hAnsi="Arial" w:cs="Arial"/>
        </w:rPr>
        <w:t xml:space="preserve">Require that BIPSAs, SIPSAs, and multi-year strategic plans include data collection, data-tracking, transparent reporting and accountability measures.  </w:t>
      </w:r>
      <w:r w:rsidR="00185A38" w:rsidRPr="00113777">
        <w:rPr>
          <w:rFonts w:ascii="Arial" w:hAnsi="Arial" w:cs="Arial"/>
        </w:rPr>
        <w:t xml:space="preserve"> </w:t>
      </w:r>
    </w:p>
    <w:p w14:paraId="34BBA37E" w14:textId="1A1F32C7" w:rsidR="004D0806" w:rsidRPr="00113777" w:rsidRDefault="00233EA4" w:rsidP="00A33FF7">
      <w:pPr>
        <w:pStyle w:val="ListParagraph"/>
        <w:numPr>
          <w:ilvl w:val="0"/>
          <w:numId w:val="2"/>
        </w:numPr>
        <w:spacing w:line="480" w:lineRule="auto"/>
        <w:rPr>
          <w:rFonts w:ascii="Arial" w:hAnsi="Arial" w:cs="Arial"/>
        </w:rPr>
      </w:pPr>
      <w:r w:rsidRPr="00113777">
        <w:rPr>
          <w:rFonts w:ascii="Arial" w:hAnsi="Arial" w:cs="Arial"/>
        </w:rPr>
        <w:t>Ensure that each school board have one or mor</w:t>
      </w:r>
      <w:r w:rsidR="009E418A" w:rsidRPr="00113777">
        <w:rPr>
          <w:rFonts w:ascii="Arial" w:hAnsi="Arial" w:cs="Arial"/>
        </w:rPr>
        <w:t>e roles</w:t>
      </w:r>
      <w:r w:rsidR="008A4575" w:rsidRPr="00113777">
        <w:rPr>
          <w:rFonts w:ascii="Arial" w:hAnsi="Arial" w:cs="Arial"/>
        </w:rPr>
        <w:t xml:space="preserve"> (e.g.</w:t>
      </w:r>
      <w:r w:rsidR="00B3082F" w:rsidRPr="00113777">
        <w:rPr>
          <w:rFonts w:ascii="Arial" w:hAnsi="Arial" w:cs="Arial"/>
        </w:rPr>
        <w:t>,</w:t>
      </w:r>
      <w:r w:rsidR="008A4575" w:rsidRPr="00113777">
        <w:rPr>
          <w:rFonts w:ascii="Arial" w:hAnsi="Arial" w:cs="Arial"/>
        </w:rPr>
        <w:t xml:space="preserve"> Human Rights Office</w:t>
      </w:r>
      <w:r w:rsidR="009639BF" w:rsidRPr="00113777">
        <w:rPr>
          <w:rFonts w:ascii="Arial" w:hAnsi="Arial" w:cs="Arial"/>
        </w:rPr>
        <w:t xml:space="preserve">) </w:t>
      </w:r>
      <w:r w:rsidR="009E418A" w:rsidRPr="00113777">
        <w:rPr>
          <w:rFonts w:ascii="Arial" w:hAnsi="Arial" w:cs="Arial"/>
        </w:rPr>
        <w:t xml:space="preserve">responsible </w:t>
      </w:r>
      <w:r w:rsidR="007B7A14" w:rsidRPr="00113777">
        <w:rPr>
          <w:rFonts w:ascii="Arial" w:hAnsi="Arial" w:cs="Arial"/>
        </w:rPr>
        <w:t>for operationalizing the</w:t>
      </w:r>
      <w:r w:rsidR="00192FBC" w:rsidRPr="00113777">
        <w:rPr>
          <w:rFonts w:ascii="Arial" w:hAnsi="Arial" w:cs="Arial"/>
        </w:rPr>
        <w:t xml:space="preserve">se plans </w:t>
      </w:r>
      <w:r w:rsidR="007B7A14" w:rsidRPr="00113777">
        <w:rPr>
          <w:rFonts w:ascii="Arial" w:hAnsi="Arial" w:cs="Arial"/>
        </w:rPr>
        <w:t>through ongoing training and professional development, data tracking and reporting, resource development and sharing throughout the board</w:t>
      </w:r>
      <w:r w:rsidR="00C56592" w:rsidRPr="00113777">
        <w:rPr>
          <w:rFonts w:ascii="Arial" w:hAnsi="Arial" w:cs="Arial"/>
        </w:rPr>
        <w:t xml:space="preserve">, and ongoing </w:t>
      </w:r>
      <w:r w:rsidR="001F07BD" w:rsidRPr="00113777">
        <w:rPr>
          <w:rFonts w:ascii="Arial" w:hAnsi="Arial" w:cs="Arial"/>
        </w:rPr>
        <w:t xml:space="preserve">consultation with respect to policy, procedure, and board communication on </w:t>
      </w:r>
      <w:r w:rsidR="00C8751D" w:rsidRPr="00113777">
        <w:rPr>
          <w:rFonts w:ascii="Arial" w:hAnsi="Arial" w:cs="Arial"/>
        </w:rPr>
        <w:t>equity</w:t>
      </w:r>
      <w:r w:rsidR="001F07BD" w:rsidRPr="00113777">
        <w:rPr>
          <w:rFonts w:ascii="Arial" w:hAnsi="Arial" w:cs="Arial"/>
        </w:rPr>
        <w:t xml:space="preserve">/Indigenous-led initiatives. </w:t>
      </w:r>
      <w:r w:rsidR="00A61224" w:rsidRPr="00113777">
        <w:rPr>
          <w:rFonts w:ascii="Arial" w:hAnsi="Arial" w:cs="Arial"/>
        </w:rPr>
        <w:t>S</w:t>
      </w:r>
      <w:r w:rsidR="00392158" w:rsidRPr="00113777">
        <w:rPr>
          <w:rFonts w:ascii="Arial" w:hAnsi="Arial" w:cs="Arial"/>
        </w:rPr>
        <w:t xml:space="preserve">ufficient </w:t>
      </w:r>
      <w:r w:rsidR="00866B14" w:rsidRPr="00113777">
        <w:rPr>
          <w:rFonts w:ascii="Arial" w:hAnsi="Arial" w:cs="Arial"/>
        </w:rPr>
        <w:t xml:space="preserve">ongoing </w:t>
      </w:r>
      <w:r w:rsidR="00392158" w:rsidRPr="00113777">
        <w:rPr>
          <w:rFonts w:ascii="Arial" w:hAnsi="Arial" w:cs="Arial"/>
        </w:rPr>
        <w:t>funding for these roles</w:t>
      </w:r>
      <w:r w:rsidR="00A61224" w:rsidRPr="00113777">
        <w:rPr>
          <w:rFonts w:ascii="Arial" w:hAnsi="Arial" w:cs="Arial"/>
        </w:rPr>
        <w:t xml:space="preserve"> should be provided</w:t>
      </w:r>
      <w:r w:rsidR="00392158" w:rsidRPr="00113777">
        <w:rPr>
          <w:rFonts w:ascii="Arial" w:hAnsi="Arial" w:cs="Arial"/>
        </w:rPr>
        <w:t xml:space="preserve">. </w:t>
      </w:r>
    </w:p>
    <w:p w14:paraId="1D7BFB75" w14:textId="071D7022" w:rsidR="003C2567" w:rsidRPr="00113777" w:rsidRDefault="0099189B" w:rsidP="00A33FF7">
      <w:pPr>
        <w:pStyle w:val="ListParagraph"/>
        <w:numPr>
          <w:ilvl w:val="0"/>
          <w:numId w:val="2"/>
        </w:numPr>
        <w:spacing w:line="480" w:lineRule="auto"/>
        <w:rPr>
          <w:rFonts w:ascii="Arial" w:hAnsi="Arial" w:cs="Arial"/>
        </w:rPr>
      </w:pPr>
      <w:r w:rsidRPr="00113777">
        <w:rPr>
          <w:rFonts w:ascii="Arial" w:hAnsi="Arial" w:cs="Arial"/>
        </w:rPr>
        <w:t xml:space="preserve">Require that all multi-year plans include mandatory ongoing, scaffolded professional development in cultural safety, anti-oppression and anti-racism </w:t>
      </w:r>
      <w:r w:rsidR="007C0ACB" w:rsidRPr="00113777">
        <w:rPr>
          <w:rFonts w:ascii="Arial" w:hAnsi="Arial" w:cs="Arial"/>
        </w:rPr>
        <w:t>for all staff and trustees</w:t>
      </w:r>
      <w:r w:rsidR="00572CB8" w:rsidRPr="00113777">
        <w:rPr>
          <w:rFonts w:ascii="Arial" w:hAnsi="Arial" w:cs="Arial"/>
        </w:rPr>
        <w:t>. R</w:t>
      </w:r>
      <w:r w:rsidR="00942BB3" w:rsidRPr="00113777">
        <w:rPr>
          <w:rFonts w:ascii="Arial" w:hAnsi="Arial" w:cs="Arial"/>
        </w:rPr>
        <w:t xml:space="preserve">eference these requirements in board postings and </w:t>
      </w:r>
      <w:r w:rsidR="00EB62DF" w:rsidRPr="00113777">
        <w:rPr>
          <w:rFonts w:ascii="Arial" w:hAnsi="Arial" w:cs="Arial"/>
        </w:rPr>
        <w:t xml:space="preserve">performance appraisals for administrators and </w:t>
      </w:r>
      <w:r w:rsidR="00A751FE" w:rsidRPr="00113777">
        <w:rPr>
          <w:rFonts w:ascii="Arial" w:hAnsi="Arial" w:cs="Arial"/>
        </w:rPr>
        <w:t>other system leaders.</w:t>
      </w:r>
    </w:p>
    <w:p w14:paraId="386A7373" w14:textId="77777777" w:rsidR="00A751FE" w:rsidRPr="00113777" w:rsidRDefault="00375B3F" w:rsidP="00A33FF7">
      <w:pPr>
        <w:pStyle w:val="ListParagraph"/>
        <w:numPr>
          <w:ilvl w:val="0"/>
          <w:numId w:val="2"/>
        </w:numPr>
        <w:spacing w:line="480" w:lineRule="auto"/>
        <w:rPr>
          <w:rFonts w:ascii="Arial" w:hAnsi="Arial" w:cs="Arial"/>
        </w:rPr>
      </w:pPr>
      <w:r w:rsidRPr="00113777">
        <w:rPr>
          <w:rFonts w:ascii="Arial" w:hAnsi="Arial" w:cs="Arial"/>
        </w:rPr>
        <w:t xml:space="preserve">Promote principals and vice-principals, consultants, coordinators, and other system leaders who have demonstrated knowledge of, commitment to, and experience in successfully addressing equity-based issues and upholding human rights. </w:t>
      </w:r>
    </w:p>
    <w:p w14:paraId="66DBC23D" w14:textId="77777777" w:rsidR="003C2567" w:rsidRPr="00113777" w:rsidRDefault="00E67837" w:rsidP="00237A73">
      <w:pPr>
        <w:pStyle w:val="Heading1"/>
      </w:pPr>
      <w:bookmarkStart w:id="16" w:name="_Toc77934720"/>
      <w:r w:rsidRPr="00113777">
        <w:t xml:space="preserve">Complaint Procedures: </w:t>
      </w:r>
      <w:r w:rsidR="0009408D" w:rsidRPr="00113777">
        <w:t>Indigenous Perspective</w:t>
      </w:r>
      <w:bookmarkEnd w:id="16"/>
      <w:r w:rsidR="0009408D" w:rsidRPr="00113777">
        <w:t xml:space="preserve"> </w:t>
      </w:r>
    </w:p>
    <w:p w14:paraId="17B79899" w14:textId="61FF5C7E" w:rsidR="009069E3" w:rsidRPr="00113777" w:rsidRDefault="00A01EAC" w:rsidP="003C2567">
      <w:pPr>
        <w:spacing w:line="480" w:lineRule="auto"/>
        <w:rPr>
          <w:rFonts w:ascii="Arial" w:hAnsi="Arial" w:cs="Arial"/>
        </w:rPr>
      </w:pPr>
      <w:r w:rsidRPr="00113777">
        <w:rPr>
          <w:rFonts w:ascii="Arial" w:hAnsi="Arial" w:cs="Arial"/>
        </w:rPr>
        <w:t>The Ministry’s consultation documen</w:t>
      </w:r>
      <w:r w:rsidR="008C606A" w:rsidRPr="00113777">
        <w:rPr>
          <w:rFonts w:ascii="Arial" w:hAnsi="Arial" w:cs="Arial"/>
        </w:rPr>
        <w:t xml:space="preserve">ts </w:t>
      </w:r>
      <w:r w:rsidR="00AE6C5D" w:rsidRPr="00113777">
        <w:rPr>
          <w:rFonts w:ascii="Arial" w:hAnsi="Arial" w:cs="Arial"/>
        </w:rPr>
        <w:t xml:space="preserve">state in the project rationale that there is a </w:t>
      </w:r>
      <w:r w:rsidR="00EF110B" w:rsidRPr="00113777">
        <w:rPr>
          <w:rFonts w:ascii="Arial" w:hAnsi="Arial" w:cs="Arial"/>
        </w:rPr>
        <w:t>“</w:t>
      </w:r>
      <w:r w:rsidR="00AE6C5D" w:rsidRPr="00113777">
        <w:rPr>
          <w:rFonts w:ascii="Arial" w:hAnsi="Arial" w:cs="Arial"/>
        </w:rPr>
        <w:t>significant disconnect</w:t>
      </w:r>
      <w:r w:rsidR="00B3277E" w:rsidRPr="00113777">
        <w:rPr>
          <w:rFonts w:ascii="Arial" w:hAnsi="Arial" w:cs="Arial"/>
        </w:rPr>
        <w:t xml:space="preserve"> </w:t>
      </w:r>
      <w:r w:rsidR="00AE6C5D" w:rsidRPr="00113777">
        <w:rPr>
          <w:rFonts w:ascii="Arial" w:hAnsi="Arial" w:cs="Arial"/>
        </w:rPr>
        <w:t xml:space="preserve">between many Indigenous </w:t>
      </w:r>
      <w:r w:rsidR="00C8751D" w:rsidRPr="00113777">
        <w:rPr>
          <w:rFonts w:ascii="Arial" w:hAnsi="Arial" w:cs="Arial"/>
        </w:rPr>
        <w:t xml:space="preserve">Peoples </w:t>
      </w:r>
      <w:r w:rsidR="00AE6C5D" w:rsidRPr="00113777">
        <w:rPr>
          <w:rFonts w:ascii="Arial" w:hAnsi="Arial" w:cs="Arial"/>
        </w:rPr>
        <w:t>and human rights systems</w:t>
      </w:r>
      <w:r w:rsidR="00163BAA" w:rsidRPr="00113777">
        <w:rPr>
          <w:rFonts w:ascii="Arial" w:hAnsi="Arial" w:cs="Arial"/>
        </w:rPr>
        <w:t xml:space="preserve">” which the Ministry hopes to ameliorate with written guidance on how school boards can remove barriers to complaint systems for Indigenous </w:t>
      </w:r>
      <w:r w:rsidR="00C8751D" w:rsidRPr="00113777">
        <w:rPr>
          <w:rFonts w:ascii="Arial" w:hAnsi="Arial" w:cs="Arial"/>
        </w:rPr>
        <w:t>Peoples</w:t>
      </w:r>
      <w:r w:rsidR="00163BAA" w:rsidRPr="00113777">
        <w:rPr>
          <w:rFonts w:ascii="Arial" w:hAnsi="Arial" w:cs="Arial"/>
        </w:rPr>
        <w:t>.</w:t>
      </w:r>
      <w:r w:rsidR="00B16D06" w:rsidRPr="00113777">
        <w:rPr>
          <w:rFonts w:ascii="Arial" w:hAnsi="Arial" w:cs="Arial"/>
        </w:rPr>
        <w:t xml:space="preserve"> </w:t>
      </w:r>
      <w:r w:rsidR="001E2E78" w:rsidRPr="00113777">
        <w:rPr>
          <w:rFonts w:ascii="Arial" w:hAnsi="Arial" w:cs="Arial"/>
        </w:rPr>
        <w:t xml:space="preserve">This focus is, again, </w:t>
      </w:r>
      <w:r w:rsidR="001E1A84" w:rsidRPr="00113777">
        <w:rPr>
          <w:rFonts w:ascii="Arial" w:hAnsi="Arial" w:cs="Arial"/>
        </w:rPr>
        <w:t>too narrow</w:t>
      </w:r>
      <w:r w:rsidR="00780DC5" w:rsidRPr="00113777">
        <w:rPr>
          <w:rFonts w:ascii="Arial" w:hAnsi="Arial" w:cs="Arial"/>
        </w:rPr>
        <w:t>.</w:t>
      </w:r>
    </w:p>
    <w:p w14:paraId="7965D169" w14:textId="77777777" w:rsidR="00ED277D" w:rsidRPr="00113777" w:rsidRDefault="007B16F0" w:rsidP="007B16F0">
      <w:pPr>
        <w:spacing w:line="480" w:lineRule="auto"/>
        <w:rPr>
          <w:rFonts w:ascii="Arial" w:hAnsi="Arial" w:cs="Arial"/>
        </w:rPr>
      </w:pPr>
      <w:r w:rsidRPr="00113777">
        <w:rPr>
          <w:rFonts w:ascii="Arial" w:hAnsi="Arial" w:cs="Arial"/>
        </w:rPr>
        <w:lastRenderedPageBreak/>
        <w:t>Colonization and the legacy of residential schools has both directly and indirectly impacted community, parental and student relationships to schools today. The distrust and broken relationships are evident in the disengagement of Indigenous communities within the school</w:t>
      </w:r>
      <w:r w:rsidR="00ED277D" w:rsidRPr="00113777">
        <w:rPr>
          <w:rFonts w:ascii="Arial" w:hAnsi="Arial" w:cs="Arial"/>
        </w:rPr>
        <w:t xml:space="preserve"> </w:t>
      </w:r>
      <w:r w:rsidRPr="00113777">
        <w:rPr>
          <w:rFonts w:ascii="Arial" w:hAnsi="Arial" w:cs="Arial"/>
        </w:rPr>
        <w:t>systems.</w:t>
      </w:r>
      <w:r w:rsidR="00C818D5" w:rsidRPr="00113777">
        <w:rPr>
          <w:rFonts w:ascii="Arial" w:hAnsi="Arial" w:cs="Arial"/>
        </w:rPr>
        <w:t xml:space="preserve"> </w:t>
      </w:r>
      <w:r w:rsidR="00DB36A7" w:rsidRPr="00113777">
        <w:rPr>
          <w:rFonts w:ascii="Arial" w:hAnsi="Arial" w:cs="Arial"/>
        </w:rPr>
        <w:t>The disconnect is not isolated to complaint procedures. The disconnect and disengagement is related to the entire system</w:t>
      </w:r>
      <w:r w:rsidR="00AC4FB9" w:rsidRPr="00113777">
        <w:rPr>
          <w:rFonts w:ascii="Arial" w:hAnsi="Arial" w:cs="Arial"/>
        </w:rPr>
        <w:t xml:space="preserve">. </w:t>
      </w:r>
    </w:p>
    <w:p w14:paraId="521FB350" w14:textId="3ADA5DDE" w:rsidR="00E67837" w:rsidRPr="00113777" w:rsidRDefault="007B16F0" w:rsidP="00E67837">
      <w:pPr>
        <w:spacing w:line="480" w:lineRule="auto"/>
        <w:rPr>
          <w:rFonts w:ascii="Arial" w:hAnsi="Arial" w:cs="Arial"/>
        </w:rPr>
      </w:pPr>
      <w:r w:rsidRPr="00113777">
        <w:rPr>
          <w:rFonts w:ascii="Arial" w:hAnsi="Arial" w:cs="Arial"/>
        </w:rPr>
        <w:t xml:space="preserve">Historically, the </w:t>
      </w:r>
      <w:r w:rsidR="00ED277D" w:rsidRPr="00113777">
        <w:rPr>
          <w:rFonts w:ascii="Arial" w:hAnsi="Arial" w:cs="Arial"/>
        </w:rPr>
        <w:t>M</w:t>
      </w:r>
      <w:r w:rsidRPr="00113777">
        <w:rPr>
          <w:rFonts w:ascii="Arial" w:hAnsi="Arial" w:cs="Arial"/>
        </w:rPr>
        <w:t xml:space="preserve">inistry of </w:t>
      </w:r>
      <w:r w:rsidR="00ED277D" w:rsidRPr="00113777">
        <w:rPr>
          <w:rFonts w:ascii="Arial" w:hAnsi="Arial" w:cs="Arial"/>
        </w:rPr>
        <w:t>E</w:t>
      </w:r>
      <w:r w:rsidRPr="00113777">
        <w:rPr>
          <w:rFonts w:ascii="Arial" w:hAnsi="Arial" w:cs="Arial"/>
        </w:rPr>
        <w:t>ducation often creates policies intended to benefit Indigenous students without consultation with Indigenous communities</w:t>
      </w:r>
      <w:r w:rsidR="00FE3416" w:rsidRPr="00113777">
        <w:rPr>
          <w:rFonts w:ascii="Arial" w:hAnsi="Arial" w:cs="Arial"/>
        </w:rPr>
        <w:t>. This is evidenced by the</w:t>
      </w:r>
      <w:r w:rsidRPr="00113777">
        <w:rPr>
          <w:rFonts w:ascii="Arial" w:hAnsi="Arial" w:cs="Arial"/>
        </w:rPr>
        <w:t xml:space="preserve"> lack of a detail</w:t>
      </w:r>
      <w:r w:rsidR="00C06223" w:rsidRPr="00113777">
        <w:rPr>
          <w:rFonts w:ascii="Arial" w:hAnsi="Arial" w:cs="Arial"/>
        </w:rPr>
        <w:t>-</w:t>
      </w:r>
      <w:r w:rsidRPr="00113777">
        <w:rPr>
          <w:rFonts w:ascii="Arial" w:hAnsi="Arial" w:cs="Arial"/>
        </w:rPr>
        <w:t xml:space="preserve">oriented plan </w:t>
      </w:r>
      <w:r w:rsidR="006F11D8" w:rsidRPr="00113777">
        <w:rPr>
          <w:rFonts w:ascii="Arial" w:hAnsi="Arial" w:cs="Arial"/>
        </w:rPr>
        <w:t xml:space="preserve">based on </w:t>
      </w:r>
      <w:r w:rsidRPr="00113777">
        <w:rPr>
          <w:rFonts w:ascii="Arial" w:hAnsi="Arial" w:cs="Arial"/>
        </w:rPr>
        <w:t>Indigenous pedagogy or practice</w:t>
      </w:r>
      <w:r w:rsidR="00C53794" w:rsidRPr="00113777">
        <w:rPr>
          <w:rFonts w:ascii="Arial" w:hAnsi="Arial" w:cs="Arial"/>
        </w:rPr>
        <w:t xml:space="preserve">. </w:t>
      </w:r>
      <w:r w:rsidR="000F617D" w:rsidRPr="00113777">
        <w:rPr>
          <w:rFonts w:ascii="Arial" w:hAnsi="Arial" w:cs="Arial"/>
        </w:rPr>
        <w:t>Policies have</w:t>
      </w:r>
      <w:r w:rsidR="00C53794" w:rsidRPr="00113777">
        <w:rPr>
          <w:rFonts w:ascii="Arial" w:hAnsi="Arial" w:cs="Arial"/>
        </w:rPr>
        <w:t xml:space="preserve"> </w:t>
      </w:r>
      <w:r w:rsidR="00762C0E" w:rsidRPr="00113777">
        <w:rPr>
          <w:rFonts w:ascii="Arial" w:hAnsi="Arial" w:cs="Arial"/>
        </w:rPr>
        <w:t xml:space="preserve">often </w:t>
      </w:r>
      <w:r w:rsidRPr="00113777">
        <w:rPr>
          <w:rFonts w:ascii="Arial" w:hAnsi="Arial" w:cs="Arial"/>
        </w:rPr>
        <w:t xml:space="preserve">focused on meeting </w:t>
      </w:r>
      <w:r w:rsidR="00C06223" w:rsidRPr="00113777">
        <w:rPr>
          <w:rFonts w:ascii="Arial" w:hAnsi="Arial" w:cs="Arial"/>
        </w:rPr>
        <w:t>Mi</w:t>
      </w:r>
      <w:r w:rsidRPr="00113777">
        <w:rPr>
          <w:rFonts w:ascii="Arial" w:hAnsi="Arial" w:cs="Arial"/>
        </w:rPr>
        <w:t>nistry aims</w:t>
      </w:r>
      <w:r w:rsidR="00E464C1" w:rsidRPr="00113777">
        <w:rPr>
          <w:rFonts w:ascii="Arial" w:hAnsi="Arial" w:cs="Arial"/>
        </w:rPr>
        <w:t>,</w:t>
      </w:r>
      <w:r w:rsidRPr="00113777">
        <w:rPr>
          <w:rFonts w:ascii="Arial" w:hAnsi="Arial" w:cs="Arial"/>
        </w:rPr>
        <w:t xml:space="preserve"> </w:t>
      </w:r>
      <w:r w:rsidR="009044AB" w:rsidRPr="00113777">
        <w:rPr>
          <w:rFonts w:ascii="Arial" w:hAnsi="Arial" w:cs="Arial"/>
        </w:rPr>
        <w:t>not the</w:t>
      </w:r>
      <w:r w:rsidRPr="00113777">
        <w:rPr>
          <w:rFonts w:ascii="Arial" w:hAnsi="Arial" w:cs="Arial"/>
        </w:rPr>
        <w:t xml:space="preserve"> goals of Indigenous communities/families</w:t>
      </w:r>
      <w:r w:rsidR="00BE2309" w:rsidRPr="00113777">
        <w:rPr>
          <w:rFonts w:ascii="Arial" w:hAnsi="Arial" w:cs="Arial"/>
        </w:rPr>
        <w:t>.</w:t>
      </w:r>
      <w:r w:rsidR="00E67837" w:rsidRPr="00113777">
        <w:rPr>
          <w:rFonts w:ascii="Arial" w:hAnsi="Arial" w:cs="Arial"/>
        </w:rPr>
        <w:t xml:space="preserve"> </w:t>
      </w:r>
    </w:p>
    <w:p w14:paraId="252EDBCE" w14:textId="77777777" w:rsidR="00FE6514" w:rsidRPr="00113777" w:rsidRDefault="00FF2644" w:rsidP="00E67837">
      <w:pPr>
        <w:spacing w:line="480" w:lineRule="auto"/>
        <w:rPr>
          <w:rFonts w:ascii="Arial" w:hAnsi="Arial" w:cs="Arial"/>
        </w:rPr>
      </w:pPr>
      <w:r w:rsidRPr="00113777">
        <w:rPr>
          <w:rFonts w:ascii="Arial" w:hAnsi="Arial" w:cs="Arial"/>
        </w:rPr>
        <w:t>The failure to implement Ministry policy</w:t>
      </w:r>
      <w:r w:rsidR="00CD016F" w:rsidRPr="00113777">
        <w:rPr>
          <w:rFonts w:ascii="Arial" w:hAnsi="Arial" w:cs="Arial"/>
        </w:rPr>
        <w:t xml:space="preserve"> that is responsive</w:t>
      </w:r>
      <w:r w:rsidR="00F97315" w:rsidRPr="00113777">
        <w:rPr>
          <w:rFonts w:ascii="Arial" w:hAnsi="Arial" w:cs="Arial"/>
        </w:rPr>
        <w:t xml:space="preserve"> to some of</w:t>
      </w:r>
      <w:r w:rsidR="00CD016F" w:rsidRPr="00113777">
        <w:rPr>
          <w:rFonts w:ascii="Arial" w:hAnsi="Arial" w:cs="Arial"/>
        </w:rPr>
        <w:t xml:space="preserve"> the TRC Calls to Action, such </w:t>
      </w:r>
      <w:r w:rsidR="006F11D8" w:rsidRPr="00113777">
        <w:rPr>
          <w:rFonts w:ascii="Arial" w:hAnsi="Arial" w:cs="Arial"/>
        </w:rPr>
        <w:t xml:space="preserve">as </w:t>
      </w:r>
      <w:r w:rsidR="00A31549" w:rsidRPr="00113777">
        <w:rPr>
          <w:rFonts w:ascii="Arial" w:hAnsi="Arial" w:cs="Arial"/>
        </w:rPr>
        <w:t xml:space="preserve">action items in </w:t>
      </w:r>
      <w:r w:rsidR="00A31549" w:rsidRPr="00113777">
        <w:rPr>
          <w:rFonts w:ascii="Arial" w:hAnsi="Arial" w:cs="Arial"/>
          <w:i/>
          <w:iCs/>
        </w:rPr>
        <w:t xml:space="preserve">Ontario’s Education Equity Action Plan </w:t>
      </w:r>
      <w:r w:rsidR="00A31549" w:rsidRPr="00113777">
        <w:rPr>
          <w:rFonts w:ascii="Arial" w:hAnsi="Arial" w:cs="Arial"/>
        </w:rPr>
        <w:t>for</w:t>
      </w:r>
      <w:r w:rsidR="00CD016F" w:rsidRPr="00113777">
        <w:rPr>
          <w:rFonts w:ascii="Arial" w:hAnsi="Arial" w:cs="Arial"/>
        </w:rPr>
        <w:t xml:space="preserve"> curriculum revision and </w:t>
      </w:r>
      <w:r w:rsidR="00A31549" w:rsidRPr="00113777">
        <w:rPr>
          <w:rFonts w:ascii="Arial" w:hAnsi="Arial" w:cs="Arial"/>
        </w:rPr>
        <w:t>enhancing educator capacity and knowledg</w:t>
      </w:r>
      <w:r w:rsidR="00DF0089" w:rsidRPr="00113777">
        <w:rPr>
          <w:rFonts w:ascii="Arial" w:hAnsi="Arial" w:cs="Arial"/>
        </w:rPr>
        <w:t>e, further erodes trust.</w:t>
      </w:r>
      <w:r w:rsidR="00A31549" w:rsidRPr="00113777">
        <w:rPr>
          <w:rFonts w:ascii="Arial" w:hAnsi="Arial" w:cs="Arial"/>
        </w:rPr>
        <w:t xml:space="preserve"> </w:t>
      </w:r>
    </w:p>
    <w:p w14:paraId="11B33C37" w14:textId="0D66EFBF" w:rsidR="00FC30F4" w:rsidRPr="00113777" w:rsidRDefault="007B16F0" w:rsidP="007B16F0">
      <w:pPr>
        <w:spacing w:line="480" w:lineRule="auto"/>
        <w:rPr>
          <w:rFonts w:ascii="Arial" w:hAnsi="Arial" w:cs="Arial"/>
        </w:rPr>
      </w:pPr>
      <w:r w:rsidRPr="00113777">
        <w:rPr>
          <w:rFonts w:ascii="Arial" w:hAnsi="Arial" w:cs="Arial"/>
        </w:rPr>
        <w:t>It is important to acknowledge that the current relationships are deeply embedded in colonization</w:t>
      </w:r>
      <w:r w:rsidR="00E464C1" w:rsidRPr="00113777">
        <w:rPr>
          <w:rFonts w:ascii="Arial" w:hAnsi="Arial" w:cs="Arial"/>
        </w:rPr>
        <w:t>,</w:t>
      </w:r>
      <w:r w:rsidRPr="00113777">
        <w:rPr>
          <w:rFonts w:ascii="Arial" w:hAnsi="Arial" w:cs="Arial"/>
        </w:rPr>
        <w:t xml:space="preserve"> with deep roots of violence and trauma</w:t>
      </w:r>
      <w:r w:rsidR="00E464C1" w:rsidRPr="00113777">
        <w:rPr>
          <w:rFonts w:ascii="Arial" w:hAnsi="Arial" w:cs="Arial"/>
        </w:rPr>
        <w:t>. That reality</w:t>
      </w:r>
      <w:r w:rsidRPr="00113777">
        <w:rPr>
          <w:rFonts w:ascii="Arial" w:hAnsi="Arial" w:cs="Arial"/>
        </w:rPr>
        <w:t xml:space="preserve"> needs to be reconciled over time through the building of relationships on an equal ground</w:t>
      </w:r>
      <w:r w:rsidR="00C8751D" w:rsidRPr="00113777">
        <w:rPr>
          <w:rFonts w:ascii="Arial" w:hAnsi="Arial" w:cs="Arial"/>
        </w:rPr>
        <w:t xml:space="preserve"> </w:t>
      </w:r>
      <w:r w:rsidR="00166480" w:rsidRPr="00113777">
        <w:rPr>
          <w:rFonts w:ascii="Arial" w:hAnsi="Arial" w:cs="Arial"/>
        </w:rPr>
        <w:t>—</w:t>
      </w:r>
      <w:r w:rsidR="00C8751D" w:rsidRPr="00113777">
        <w:rPr>
          <w:rFonts w:ascii="Arial" w:hAnsi="Arial" w:cs="Arial"/>
        </w:rPr>
        <w:t xml:space="preserve"> </w:t>
      </w:r>
      <w:r w:rsidR="00166480" w:rsidRPr="00113777">
        <w:rPr>
          <w:rFonts w:ascii="Arial" w:hAnsi="Arial" w:cs="Arial"/>
        </w:rPr>
        <w:t>a</w:t>
      </w:r>
      <w:r w:rsidRPr="00113777">
        <w:rPr>
          <w:rFonts w:ascii="Arial" w:hAnsi="Arial" w:cs="Arial"/>
        </w:rPr>
        <w:t xml:space="preserve"> return to the original agreement of the Two Row Wampu</w:t>
      </w:r>
      <w:r w:rsidR="00FB0A3F" w:rsidRPr="00113777">
        <w:rPr>
          <w:rFonts w:ascii="Arial" w:hAnsi="Arial" w:cs="Arial"/>
        </w:rPr>
        <w:t>m. R</w:t>
      </w:r>
      <w:r w:rsidRPr="00113777">
        <w:rPr>
          <w:rFonts w:ascii="Arial" w:hAnsi="Arial" w:cs="Arial"/>
        </w:rPr>
        <w:t xml:space="preserve">elationships based on respect and non-interference </w:t>
      </w:r>
      <w:r w:rsidR="000C2E2C" w:rsidRPr="00113777">
        <w:rPr>
          <w:rFonts w:ascii="Arial" w:hAnsi="Arial" w:cs="Arial"/>
        </w:rPr>
        <w:t xml:space="preserve">must be </w:t>
      </w:r>
      <w:r w:rsidR="00773FA6" w:rsidRPr="00113777">
        <w:rPr>
          <w:rFonts w:ascii="Arial" w:hAnsi="Arial" w:cs="Arial"/>
        </w:rPr>
        <w:t>re-established</w:t>
      </w:r>
      <w:r w:rsidR="000C2E2C" w:rsidRPr="00113777">
        <w:rPr>
          <w:rFonts w:ascii="Arial" w:hAnsi="Arial" w:cs="Arial"/>
        </w:rPr>
        <w:t xml:space="preserve"> through reconciliation</w:t>
      </w:r>
      <w:r w:rsidR="00E660D0" w:rsidRPr="00113777">
        <w:rPr>
          <w:rFonts w:ascii="Arial" w:hAnsi="Arial" w:cs="Arial"/>
        </w:rPr>
        <w:t xml:space="preserve">. </w:t>
      </w:r>
    </w:p>
    <w:p w14:paraId="2419BD4F" w14:textId="1C5622BC" w:rsidR="001270A9" w:rsidRPr="00113777" w:rsidRDefault="00FC30F4" w:rsidP="007B16F0">
      <w:pPr>
        <w:spacing w:line="480" w:lineRule="auto"/>
        <w:rPr>
          <w:rFonts w:ascii="Arial" w:hAnsi="Arial" w:cs="Arial"/>
        </w:rPr>
      </w:pPr>
      <w:r w:rsidRPr="00113777">
        <w:rPr>
          <w:rFonts w:ascii="Arial" w:hAnsi="Arial" w:cs="Arial"/>
        </w:rPr>
        <w:t>Boards</w:t>
      </w:r>
      <w:r w:rsidR="00426021" w:rsidRPr="00113777">
        <w:rPr>
          <w:rFonts w:ascii="Arial" w:hAnsi="Arial" w:cs="Arial"/>
        </w:rPr>
        <w:t xml:space="preserve"> should</w:t>
      </w:r>
      <w:r w:rsidRPr="00113777">
        <w:rPr>
          <w:rFonts w:ascii="Arial" w:hAnsi="Arial" w:cs="Arial"/>
        </w:rPr>
        <w:t xml:space="preserve"> include the Indigenous Education Lead in developing processes, polic</w:t>
      </w:r>
      <w:r w:rsidR="00FE216E" w:rsidRPr="00113777">
        <w:rPr>
          <w:rFonts w:ascii="Arial" w:hAnsi="Arial" w:cs="Arial"/>
        </w:rPr>
        <w:t>ies</w:t>
      </w:r>
      <w:r w:rsidRPr="00113777">
        <w:rPr>
          <w:rFonts w:ascii="Arial" w:hAnsi="Arial" w:cs="Arial"/>
        </w:rPr>
        <w:t xml:space="preserve"> and procedures related to Indigenous students</w:t>
      </w:r>
      <w:r w:rsidR="00FE216E" w:rsidRPr="00113777">
        <w:rPr>
          <w:rFonts w:ascii="Arial" w:hAnsi="Arial" w:cs="Arial"/>
        </w:rPr>
        <w:t xml:space="preserve">, </w:t>
      </w:r>
      <w:r w:rsidR="00A615D8" w:rsidRPr="00113777">
        <w:rPr>
          <w:rFonts w:ascii="Arial" w:hAnsi="Arial" w:cs="Arial"/>
        </w:rPr>
        <w:t>and</w:t>
      </w:r>
      <w:r w:rsidR="00FE216E" w:rsidRPr="00113777">
        <w:rPr>
          <w:rFonts w:ascii="Arial" w:hAnsi="Arial" w:cs="Arial"/>
        </w:rPr>
        <w:t xml:space="preserve"> in</w:t>
      </w:r>
      <w:r w:rsidR="00A615D8" w:rsidRPr="00113777">
        <w:rPr>
          <w:rFonts w:ascii="Arial" w:hAnsi="Arial" w:cs="Arial"/>
        </w:rPr>
        <w:t xml:space="preserve"> the many contexts in which human rights issues might be expected to arise. Creation of</w:t>
      </w:r>
      <w:r w:rsidR="00FE216E" w:rsidRPr="00113777">
        <w:rPr>
          <w:rFonts w:ascii="Arial" w:hAnsi="Arial" w:cs="Arial"/>
        </w:rPr>
        <w:t xml:space="preserve"> a single </w:t>
      </w:r>
      <w:proofErr w:type="gramStart"/>
      <w:r w:rsidR="00FE216E" w:rsidRPr="00113777">
        <w:rPr>
          <w:rFonts w:ascii="Arial" w:hAnsi="Arial" w:cs="Arial"/>
        </w:rPr>
        <w:t>complaints</w:t>
      </w:r>
      <w:proofErr w:type="gramEnd"/>
      <w:r w:rsidR="00FE216E" w:rsidRPr="00113777">
        <w:rPr>
          <w:rFonts w:ascii="Arial" w:hAnsi="Arial" w:cs="Arial"/>
        </w:rPr>
        <w:t xml:space="preserve"> policy/</w:t>
      </w:r>
      <w:r w:rsidR="00A615D8" w:rsidRPr="00113777">
        <w:rPr>
          <w:rFonts w:ascii="Arial" w:hAnsi="Arial" w:cs="Arial"/>
        </w:rPr>
        <w:t xml:space="preserve">procedure is insufficient. Many of the situations where students’ </w:t>
      </w:r>
      <w:r w:rsidR="0032735E" w:rsidRPr="00113777">
        <w:rPr>
          <w:rFonts w:ascii="Arial" w:hAnsi="Arial" w:cs="Arial"/>
        </w:rPr>
        <w:t xml:space="preserve">human </w:t>
      </w:r>
      <w:r w:rsidR="00A615D8" w:rsidRPr="00113777">
        <w:rPr>
          <w:rFonts w:ascii="Arial" w:hAnsi="Arial" w:cs="Arial"/>
        </w:rPr>
        <w:t>rights are most at stak</w:t>
      </w:r>
      <w:r w:rsidR="00572CB8" w:rsidRPr="00113777">
        <w:rPr>
          <w:rFonts w:ascii="Arial" w:hAnsi="Arial" w:cs="Arial"/>
        </w:rPr>
        <w:t xml:space="preserve">e (i.e., </w:t>
      </w:r>
      <w:r w:rsidR="00A615D8" w:rsidRPr="00113777">
        <w:rPr>
          <w:rFonts w:ascii="Arial" w:hAnsi="Arial" w:cs="Arial"/>
        </w:rPr>
        <w:t xml:space="preserve">when </w:t>
      </w:r>
      <w:r w:rsidR="00866315" w:rsidRPr="00113777">
        <w:rPr>
          <w:rFonts w:ascii="Arial" w:hAnsi="Arial" w:cs="Arial"/>
        </w:rPr>
        <w:t>a student is disciplined and faces the prospect of suspension or expulsion</w:t>
      </w:r>
      <w:r w:rsidR="00E464C1" w:rsidRPr="00113777">
        <w:rPr>
          <w:rFonts w:ascii="Arial" w:hAnsi="Arial" w:cs="Arial"/>
        </w:rPr>
        <w:t>,</w:t>
      </w:r>
      <w:r w:rsidR="00866315" w:rsidRPr="00113777">
        <w:rPr>
          <w:rFonts w:ascii="Arial" w:hAnsi="Arial" w:cs="Arial"/>
        </w:rPr>
        <w:t xml:space="preserve"> </w:t>
      </w:r>
      <w:r w:rsidR="00572CB8" w:rsidRPr="00113777">
        <w:rPr>
          <w:rFonts w:ascii="Arial" w:hAnsi="Arial" w:cs="Arial"/>
        </w:rPr>
        <w:t>or</w:t>
      </w:r>
      <w:r w:rsidR="00866315" w:rsidRPr="00113777">
        <w:rPr>
          <w:rFonts w:ascii="Arial" w:hAnsi="Arial" w:cs="Arial"/>
        </w:rPr>
        <w:t xml:space="preserve"> when a student has special education need</w:t>
      </w:r>
      <w:r w:rsidR="00572CB8" w:rsidRPr="00113777">
        <w:rPr>
          <w:rFonts w:ascii="Arial" w:hAnsi="Arial" w:cs="Arial"/>
        </w:rPr>
        <w:t xml:space="preserve">s) </w:t>
      </w:r>
      <w:r w:rsidR="00DE1991" w:rsidRPr="00113777">
        <w:rPr>
          <w:rFonts w:ascii="Arial" w:hAnsi="Arial" w:cs="Arial"/>
        </w:rPr>
        <w:t xml:space="preserve">are dealt with through statutory processes mandated by the </w:t>
      </w:r>
      <w:r w:rsidR="00DE1991" w:rsidRPr="00113777">
        <w:rPr>
          <w:rFonts w:ascii="Arial" w:hAnsi="Arial" w:cs="Arial"/>
          <w:i/>
          <w:iCs/>
        </w:rPr>
        <w:t>Education Act</w:t>
      </w:r>
      <w:r w:rsidR="00DE1991" w:rsidRPr="00113777">
        <w:rPr>
          <w:rFonts w:ascii="Arial" w:hAnsi="Arial" w:cs="Arial"/>
        </w:rPr>
        <w:t xml:space="preserve">. </w:t>
      </w:r>
      <w:r w:rsidR="00720A44" w:rsidRPr="00113777">
        <w:rPr>
          <w:rFonts w:ascii="Arial" w:hAnsi="Arial" w:cs="Arial"/>
        </w:rPr>
        <w:t xml:space="preserve">Ensuring that students </w:t>
      </w:r>
      <w:r w:rsidR="00720A44" w:rsidRPr="00113777">
        <w:rPr>
          <w:rFonts w:ascii="Arial" w:hAnsi="Arial" w:cs="Arial"/>
        </w:rPr>
        <w:lastRenderedPageBreak/>
        <w:t>and families have appropriate</w:t>
      </w:r>
      <w:r w:rsidR="00302F22" w:rsidRPr="00113777">
        <w:rPr>
          <w:rFonts w:ascii="Arial" w:hAnsi="Arial" w:cs="Arial"/>
        </w:rPr>
        <w:t xml:space="preserve"> and accessible</w:t>
      </w:r>
      <w:r w:rsidR="00720A44" w:rsidRPr="00113777">
        <w:rPr>
          <w:rFonts w:ascii="Arial" w:hAnsi="Arial" w:cs="Arial"/>
        </w:rPr>
        <w:t xml:space="preserve"> information about these processes</w:t>
      </w:r>
      <w:r w:rsidR="00E464C1" w:rsidRPr="00113777">
        <w:rPr>
          <w:rFonts w:ascii="Arial" w:hAnsi="Arial" w:cs="Arial"/>
        </w:rPr>
        <w:t xml:space="preserve">, </w:t>
      </w:r>
      <w:proofErr w:type="gramStart"/>
      <w:r w:rsidR="00302F22" w:rsidRPr="00113777">
        <w:rPr>
          <w:rFonts w:ascii="Arial" w:hAnsi="Arial" w:cs="Arial"/>
        </w:rPr>
        <w:t xml:space="preserve">and </w:t>
      </w:r>
      <w:r w:rsidR="00E464C1" w:rsidRPr="00113777">
        <w:rPr>
          <w:rFonts w:ascii="Arial" w:hAnsi="Arial" w:cs="Arial"/>
        </w:rPr>
        <w:t>also</w:t>
      </w:r>
      <w:proofErr w:type="gramEnd"/>
      <w:r w:rsidR="00E464C1" w:rsidRPr="00113777">
        <w:rPr>
          <w:rFonts w:ascii="Arial" w:hAnsi="Arial" w:cs="Arial"/>
        </w:rPr>
        <w:t xml:space="preserve"> have </w:t>
      </w:r>
      <w:r w:rsidR="00302F22" w:rsidRPr="00113777">
        <w:rPr>
          <w:rFonts w:ascii="Arial" w:hAnsi="Arial" w:cs="Arial"/>
        </w:rPr>
        <w:t>advocates to support and assist them in navigating school boards</w:t>
      </w:r>
      <w:r w:rsidR="00622AC6" w:rsidRPr="00113777">
        <w:rPr>
          <w:rFonts w:ascii="Arial" w:hAnsi="Arial" w:cs="Arial"/>
        </w:rPr>
        <w:t>’</w:t>
      </w:r>
      <w:r w:rsidR="00302F22" w:rsidRPr="00113777">
        <w:rPr>
          <w:rFonts w:ascii="Arial" w:hAnsi="Arial" w:cs="Arial"/>
        </w:rPr>
        <w:t xml:space="preserve"> process</w:t>
      </w:r>
      <w:r w:rsidR="004A3047" w:rsidRPr="00113777">
        <w:rPr>
          <w:rFonts w:ascii="Arial" w:hAnsi="Arial" w:cs="Arial"/>
        </w:rPr>
        <w:t>es</w:t>
      </w:r>
      <w:r w:rsidR="00E464C1" w:rsidRPr="00113777">
        <w:rPr>
          <w:rFonts w:ascii="Arial" w:hAnsi="Arial" w:cs="Arial"/>
        </w:rPr>
        <w:t>,</w:t>
      </w:r>
      <w:r w:rsidR="00302F22" w:rsidRPr="00113777">
        <w:rPr>
          <w:rFonts w:ascii="Arial" w:hAnsi="Arial" w:cs="Arial"/>
        </w:rPr>
        <w:t xml:space="preserve"> is critical. </w:t>
      </w:r>
      <w:r w:rsidR="001270A9" w:rsidRPr="00113777">
        <w:rPr>
          <w:rFonts w:ascii="Arial" w:hAnsi="Arial" w:cs="Arial"/>
        </w:rPr>
        <w:t xml:space="preserve"> </w:t>
      </w:r>
    </w:p>
    <w:p w14:paraId="0A804370" w14:textId="7B22C208" w:rsidR="009D0CDA" w:rsidRPr="00113777" w:rsidRDefault="009D0CDA" w:rsidP="009D0CDA">
      <w:pPr>
        <w:spacing w:line="480" w:lineRule="auto"/>
        <w:rPr>
          <w:rFonts w:ascii="Arial" w:hAnsi="Arial" w:cs="Arial"/>
        </w:rPr>
      </w:pPr>
      <w:r w:rsidRPr="00113777">
        <w:rPr>
          <w:rFonts w:ascii="Arial" w:hAnsi="Arial" w:cs="Arial"/>
        </w:rPr>
        <w:t xml:space="preserve">To support </w:t>
      </w:r>
      <w:r w:rsidR="007D3CCC" w:rsidRPr="00113777">
        <w:rPr>
          <w:rFonts w:ascii="Arial" w:hAnsi="Arial" w:cs="Arial"/>
        </w:rPr>
        <w:t>the United Nations Declaration on the Rights of Indigenous Peoples (UNDRIP)</w:t>
      </w:r>
      <w:r w:rsidRPr="00113777">
        <w:rPr>
          <w:rFonts w:ascii="Arial" w:hAnsi="Arial" w:cs="Arial"/>
        </w:rPr>
        <w:t>, Article</w:t>
      </w:r>
      <w:r w:rsidR="000F6403" w:rsidRPr="00113777">
        <w:rPr>
          <w:rFonts w:ascii="Arial" w:hAnsi="Arial" w:cs="Arial"/>
        </w:rPr>
        <w:t>s</w:t>
      </w:r>
      <w:r w:rsidRPr="00113777">
        <w:rPr>
          <w:rFonts w:ascii="Arial" w:hAnsi="Arial" w:cs="Arial"/>
        </w:rPr>
        <w:t xml:space="preserve"> 18 </w:t>
      </w:r>
      <w:r w:rsidR="000F6403" w:rsidRPr="00113777">
        <w:rPr>
          <w:rFonts w:ascii="Arial" w:hAnsi="Arial" w:cs="Arial"/>
        </w:rPr>
        <w:t xml:space="preserve">and </w:t>
      </w:r>
      <w:r w:rsidRPr="00113777">
        <w:rPr>
          <w:rFonts w:ascii="Arial" w:hAnsi="Arial" w:cs="Arial"/>
        </w:rPr>
        <w:t xml:space="preserve">19, </w:t>
      </w:r>
      <w:r w:rsidR="007D3CCC" w:rsidRPr="00113777">
        <w:rPr>
          <w:rFonts w:ascii="Arial" w:hAnsi="Arial" w:cs="Arial"/>
        </w:rPr>
        <w:t>a</w:t>
      </w:r>
      <w:r w:rsidRPr="00113777">
        <w:rPr>
          <w:rFonts w:ascii="Arial" w:hAnsi="Arial" w:cs="Arial"/>
        </w:rPr>
        <w:t>n Indigenous advocate/navigator role</w:t>
      </w:r>
      <w:r w:rsidR="007D3CCC" w:rsidRPr="00113777">
        <w:rPr>
          <w:rFonts w:ascii="Arial" w:hAnsi="Arial" w:cs="Arial"/>
        </w:rPr>
        <w:t xml:space="preserve"> should be </w:t>
      </w:r>
      <w:r w:rsidRPr="00113777">
        <w:rPr>
          <w:rFonts w:ascii="Arial" w:hAnsi="Arial" w:cs="Arial"/>
        </w:rPr>
        <w:t>established</w:t>
      </w:r>
      <w:r w:rsidR="007D3CCC" w:rsidRPr="00113777">
        <w:rPr>
          <w:rFonts w:ascii="Arial" w:hAnsi="Arial" w:cs="Arial"/>
        </w:rPr>
        <w:t xml:space="preserve"> within each board</w:t>
      </w:r>
      <w:r w:rsidR="00572CB8" w:rsidRPr="00113777">
        <w:rPr>
          <w:rFonts w:ascii="Arial" w:hAnsi="Arial" w:cs="Arial"/>
        </w:rPr>
        <w:t>. The role would</w:t>
      </w:r>
      <w:r w:rsidRPr="00113777">
        <w:rPr>
          <w:rFonts w:ascii="Arial" w:hAnsi="Arial" w:cs="Arial"/>
        </w:rPr>
        <w:t xml:space="preserve"> support communities/parents and students </w:t>
      </w:r>
      <w:r w:rsidR="00C51A89" w:rsidRPr="00113777">
        <w:rPr>
          <w:rFonts w:ascii="Arial" w:hAnsi="Arial" w:cs="Arial"/>
        </w:rPr>
        <w:t xml:space="preserve">in navigating </w:t>
      </w:r>
      <w:r w:rsidR="00E207ED" w:rsidRPr="00113777">
        <w:rPr>
          <w:rFonts w:ascii="Arial" w:hAnsi="Arial" w:cs="Arial"/>
        </w:rPr>
        <w:t>board</w:t>
      </w:r>
      <w:r w:rsidRPr="00113777">
        <w:rPr>
          <w:rFonts w:ascii="Arial" w:hAnsi="Arial" w:cs="Arial"/>
        </w:rPr>
        <w:t xml:space="preserve"> process</w:t>
      </w:r>
      <w:r w:rsidR="00E207ED" w:rsidRPr="00113777">
        <w:rPr>
          <w:rFonts w:ascii="Arial" w:hAnsi="Arial" w:cs="Arial"/>
        </w:rPr>
        <w:t>es</w:t>
      </w:r>
      <w:r w:rsidR="00FE216E" w:rsidRPr="00113777">
        <w:rPr>
          <w:rFonts w:ascii="Arial" w:hAnsi="Arial" w:cs="Arial"/>
        </w:rPr>
        <w:t>. Those processes include,</w:t>
      </w:r>
      <w:r w:rsidR="00AE4826" w:rsidRPr="00113777">
        <w:rPr>
          <w:rFonts w:ascii="Arial" w:hAnsi="Arial" w:cs="Arial"/>
        </w:rPr>
        <w:t xml:space="preserve"> but</w:t>
      </w:r>
      <w:r w:rsidR="008C606A" w:rsidRPr="00113777">
        <w:rPr>
          <w:rFonts w:ascii="Arial" w:hAnsi="Arial" w:cs="Arial"/>
        </w:rPr>
        <w:t xml:space="preserve"> are</w:t>
      </w:r>
      <w:r w:rsidR="00AE4826" w:rsidRPr="00113777">
        <w:rPr>
          <w:rFonts w:ascii="Arial" w:hAnsi="Arial" w:cs="Arial"/>
        </w:rPr>
        <w:t xml:space="preserve"> not limited to, human rights complaint processes, </w:t>
      </w:r>
      <w:r w:rsidR="00145476" w:rsidRPr="00113777">
        <w:rPr>
          <w:rFonts w:ascii="Arial" w:hAnsi="Arial" w:cs="Arial"/>
        </w:rPr>
        <w:t>special education processes (e.g.</w:t>
      </w:r>
      <w:r w:rsidR="00B3082F" w:rsidRPr="00113777">
        <w:rPr>
          <w:rFonts w:ascii="Arial" w:hAnsi="Arial" w:cs="Arial"/>
        </w:rPr>
        <w:t>,</w:t>
      </w:r>
      <w:r w:rsidR="00145476" w:rsidRPr="00113777">
        <w:rPr>
          <w:rFonts w:ascii="Arial" w:hAnsi="Arial" w:cs="Arial"/>
        </w:rPr>
        <w:t xml:space="preserve"> Individual Education Plans and </w:t>
      </w:r>
      <w:r w:rsidR="00AE4826" w:rsidRPr="00113777">
        <w:rPr>
          <w:rFonts w:ascii="Arial" w:hAnsi="Arial" w:cs="Arial"/>
        </w:rPr>
        <w:t>Identification</w:t>
      </w:r>
      <w:r w:rsidR="00145476" w:rsidRPr="00113777">
        <w:rPr>
          <w:rFonts w:ascii="Arial" w:hAnsi="Arial" w:cs="Arial"/>
        </w:rPr>
        <w:t xml:space="preserve"> Placement Review Committee meeting</w:t>
      </w:r>
      <w:r w:rsidR="004A3047" w:rsidRPr="00113777">
        <w:rPr>
          <w:rFonts w:ascii="Arial" w:hAnsi="Arial" w:cs="Arial"/>
        </w:rPr>
        <w:t>s</w:t>
      </w:r>
      <w:r w:rsidR="00145476" w:rsidRPr="00113777">
        <w:rPr>
          <w:rFonts w:ascii="Arial" w:hAnsi="Arial" w:cs="Arial"/>
        </w:rPr>
        <w:t>), and student discipline processes.</w:t>
      </w:r>
      <w:r w:rsidR="00C51A89" w:rsidRPr="00113777">
        <w:rPr>
          <w:rFonts w:ascii="Arial" w:hAnsi="Arial" w:cs="Arial"/>
        </w:rPr>
        <w:t xml:space="preserve"> The Indigenous advocate/navigator’s role would include </w:t>
      </w:r>
      <w:r w:rsidRPr="00113777">
        <w:rPr>
          <w:rFonts w:ascii="Arial" w:hAnsi="Arial" w:cs="Arial"/>
        </w:rPr>
        <w:t>filing of paperwork, consult</w:t>
      </w:r>
      <w:r w:rsidR="00C51A89" w:rsidRPr="00113777">
        <w:rPr>
          <w:rFonts w:ascii="Arial" w:hAnsi="Arial" w:cs="Arial"/>
        </w:rPr>
        <w:t>ing</w:t>
      </w:r>
      <w:r w:rsidRPr="00113777">
        <w:rPr>
          <w:rFonts w:ascii="Arial" w:hAnsi="Arial" w:cs="Arial"/>
        </w:rPr>
        <w:t xml:space="preserve"> with families, </w:t>
      </w:r>
      <w:r w:rsidR="00C51A89" w:rsidRPr="00113777">
        <w:rPr>
          <w:rFonts w:ascii="Arial" w:hAnsi="Arial" w:cs="Arial"/>
        </w:rPr>
        <w:t xml:space="preserve">attending </w:t>
      </w:r>
      <w:r w:rsidRPr="00113777">
        <w:rPr>
          <w:rFonts w:ascii="Arial" w:hAnsi="Arial" w:cs="Arial"/>
        </w:rPr>
        <w:t xml:space="preserve">meetings with or in the absence of </w:t>
      </w:r>
      <w:r w:rsidR="00E15B04" w:rsidRPr="00113777">
        <w:rPr>
          <w:rFonts w:ascii="Arial" w:hAnsi="Arial" w:cs="Arial"/>
        </w:rPr>
        <w:t>families</w:t>
      </w:r>
      <w:r w:rsidRPr="00113777">
        <w:rPr>
          <w:rFonts w:ascii="Arial" w:hAnsi="Arial" w:cs="Arial"/>
        </w:rPr>
        <w:t>/caregivers</w:t>
      </w:r>
      <w:r w:rsidR="00C51A89" w:rsidRPr="00113777">
        <w:rPr>
          <w:rFonts w:ascii="Arial" w:hAnsi="Arial" w:cs="Arial"/>
        </w:rPr>
        <w:t xml:space="preserve">. This role is similar to Jordan’s </w:t>
      </w:r>
      <w:proofErr w:type="gramStart"/>
      <w:r w:rsidR="00C51A89" w:rsidRPr="00113777">
        <w:rPr>
          <w:rFonts w:ascii="Arial" w:hAnsi="Arial" w:cs="Arial"/>
        </w:rPr>
        <w:t>Principle</w:t>
      </w:r>
      <w:proofErr w:type="gramEnd"/>
      <w:r w:rsidR="00C51A89" w:rsidRPr="00113777">
        <w:rPr>
          <w:rFonts w:ascii="Arial" w:hAnsi="Arial" w:cs="Arial"/>
        </w:rPr>
        <w:t xml:space="preserve"> navigators that exist federally. </w:t>
      </w:r>
    </w:p>
    <w:p w14:paraId="75A7DAF4" w14:textId="4C774344" w:rsidR="00507C53" w:rsidRPr="00113777" w:rsidRDefault="004D6FBD" w:rsidP="004D6FBD">
      <w:pPr>
        <w:spacing w:line="480" w:lineRule="auto"/>
        <w:rPr>
          <w:rFonts w:ascii="Arial" w:hAnsi="Arial" w:cs="Arial"/>
        </w:rPr>
      </w:pPr>
      <w:r w:rsidRPr="00113777">
        <w:rPr>
          <w:rFonts w:ascii="Arial" w:hAnsi="Arial" w:cs="Arial"/>
        </w:rPr>
        <w:t xml:space="preserve">If navigators are not available, </w:t>
      </w:r>
      <w:r w:rsidR="009D0CDA" w:rsidRPr="00113777">
        <w:rPr>
          <w:rFonts w:ascii="Arial" w:hAnsi="Arial" w:cs="Arial"/>
        </w:rPr>
        <w:t>the Indigenous Education Lead, community liaison or community support person</w:t>
      </w:r>
      <w:r w:rsidR="00507C53" w:rsidRPr="00113777">
        <w:rPr>
          <w:rFonts w:ascii="Arial" w:hAnsi="Arial" w:cs="Arial"/>
        </w:rPr>
        <w:t xml:space="preserve"> </w:t>
      </w:r>
      <w:r w:rsidR="00CE6D76" w:rsidRPr="00113777">
        <w:rPr>
          <w:rFonts w:ascii="Arial" w:hAnsi="Arial" w:cs="Arial"/>
        </w:rPr>
        <w:t>should be able to</w:t>
      </w:r>
      <w:r w:rsidR="00507C53" w:rsidRPr="00113777">
        <w:rPr>
          <w:rFonts w:ascii="Arial" w:hAnsi="Arial" w:cs="Arial"/>
        </w:rPr>
        <w:t xml:space="preserve"> participate in processes</w:t>
      </w:r>
      <w:r w:rsidR="009D0CDA" w:rsidRPr="00113777">
        <w:rPr>
          <w:rFonts w:ascii="Arial" w:hAnsi="Arial" w:cs="Arial"/>
        </w:rPr>
        <w:t xml:space="preserve"> alongside the student/caregiver</w:t>
      </w:r>
      <w:r w:rsidR="00CE6D76" w:rsidRPr="00113777">
        <w:rPr>
          <w:rFonts w:ascii="Arial" w:hAnsi="Arial" w:cs="Arial"/>
        </w:rPr>
        <w:t>,</w:t>
      </w:r>
      <w:r w:rsidR="009D0CDA" w:rsidRPr="00113777">
        <w:rPr>
          <w:rFonts w:ascii="Arial" w:hAnsi="Arial" w:cs="Arial"/>
        </w:rPr>
        <w:t xml:space="preserve"> or in their absence with signed consent.</w:t>
      </w:r>
      <w:r w:rsidR="00827717" w:rsidRPr="00113777">
        <w:rPr>
          <w:rFonts w:ascii="Arial" w:hAnsi="Arial" w:cs="Arial"/>
        </w:rPr>
        <w:t xml:space="preserve"> </w:t>
      </w:r>
    </w:p>
    <w:p w14:paraId="4387B67B" w14:textId="1D91C1EF" w:rsidR="009D0CDA" w:rsidRPr="00113777" w:rsidRDefault="00736D73" w:rsidP="003F27C7">
      <w:pPr>
        <w:spacing w:line="480" w:lineRule="auto"/>
        <w:rPr>
          <w:rFonts w:ascii="Arial" w:hAnsi="Arial" w:cs="Arial"/>
        </w:rPr>
      </w:pPr>
      <w:r w:rsidRPr="00113777">
        <w:rPr>
          <w:rFonts w:ascii="Arial" w:hAnsi="Arial" w:cs="Arial"/>
        </w:rPr>
        <w:t xml:space="preserve">When these support roles are filled by </w:t>
      </w:r>
      <w:r w:rsidR="0080666E" w:rsidRPr="00113777">
        <w:rPr>
          <w:rFonts w:ascii="Arial" w:hAnsi="Arial" w:cs="Arial"/>
        </w:rPr>
        <w:t>school board staff,</w:t>
      </w:r>
      <w:r w:rsidR="00A34742" w:rsidRPr="00113777">
        <w:rPr>
          <w:rFonts w:ascii="Arial" w:hAnsi="Arial" w:cs="Arial"/>
        </w:rPr>
        <w:t xml:space="preserve"> </w:t>
      </w:r>
      <w:r w:rsidR="00CE6D76" w:rsidRPr="00113777">
        <w:rPr>
          <w:rFonts w:ascii="Arial" w:hAnsi="Arial" w:cs="Arial"/>
        </w:rPr>
        <w:t>those staff members</w:t>
      </w:r>
      <w:r w:rsidR="00A34742" w:rsidRPr="00113777">
        <w:rPr>
          <w:rFonts w:ascii="Arial" w:hAnsi="Arial" w:cs="Arial"/>
        </w:rPr>
        <w:t xml:space="preserve"> must</w:t>
      </w:r>
      <w:r w:rsidR="00FE216E" w:rsidRPr="00113777">
        <w:rPr>
          <w:rFonts w:ascii="Arial" w:hAnsi="Arial" w:cs="Arial"/>
        </w:rPr>
        <w:t xml:space="preserve"> be protected from any reprisals </w:t>
      </w:r>
      <w:r w:rsidR="00A34742" w:rsidRPr="00113777">
        <w:rPr>
          <w:rFonts w:ascii="Arial" w:hAnsi="Arial" w:cs="Arial"/>
        </w:rPr>
        <w:t>for</w:t>
      </w:r>
      <w:r w:rsidR="008C606A" w:rsidRPr="00113777">
        <w:rPr>
          <w:rFonts w:ascii="Arial" w:hAnsi="Arial" w:cs="Arial"/>
        </w:rPr>
        <w:t xml:space="preserve"> </w:t>
      </w:r>
      <w:r w:rsidR="00A34742" w:rsidRPr="00113777">
        <w:rPr>
          <w:rFonts w:ascii="Arial" w:hAnsi="Arial" w:cs="Arial"/>
        </w:rPr>
        <w:t>acting on behalf of Indigenous families/communities.</w:t>
      </w:r>
      <w:r w:rsidR="006C0DE9" w:rsidRPr="00113777">
        <w:rPr>
          <w:rFonts w:ascii="Arial" w:hAnsi="Arial" w:cs="Arial"/>
        </w:rPr>
        <w:t xml:space="preserve"> </w:t>
      </w:r>
    </w:p>
    <w:p w14:paraId="48705FA1" w14:textId="6BDA7B0D" w:rsidR="009D0CDA" w:rsidRPr="00113777" w:rsidRDefault="000563A2" w:rsidP="009D0CDA">
      <w:pPr>
        <w:spacing w:line="480" w:lineRule="auto"/>
        <w:rPr>
          <w:rFonts w:ascii="Arial" w:hAnsi="Arial" w:cs="Arial"/>
        </w:rPr>
      </w:pPr>
      <w:r w:rsidRPr="00113777">
        <w:rPr>
          <w:rFonts w:ascii="Arial" w:hAnsi="Arial" w:cs="Arial"/>
        </w:rPr>
        <w:t>The navigator role must be promoted publicly. Their contact information</w:t>
      </w:r>
      <w:r w:rsidR="00FE216E" w:rsidRPr="00113777">
        <w:rPr>
          <w:rFonts w:ascii="Arial" w:hAnsi="Arial" w:cs="Arial"/>
        </w:rPr>
        <w:t xml:space="preserve"> </w:t>
      </w:r>
      <w:r w:rsidRPr="00113777">
        <w:rPr>
          <w:rFonts w:ascii="Arial" w:hAnsi="Arial" w:cs="Arial"/>
        </w:rPr>
        <w:t>should be easily accessible and available in digital and hard copy format</w:t>
      </w:r>
      <w:r w:rsidR="006B44D8" w:rsidRPr="00113777">
        <w:rPr>
          <w:rFonts w:ascii="Arial" w:hAnsi="Arial" w:cs="Arial"/>
        </w:rPr>
        <w:t>s</w:t>
      </w:r>
      <w:r w:rsidRPr="00113777">
        <w:rPr>
          <w:rFonts w:ascii="Arial" w:hAnsi="Arial" w:cs="Arial"/>
        </w:rPr>
        <w:t xml:space="preserve"> through the board website, at board buildings,</w:t>
      </w:r>
      <w:r w:rsidR="00CE6D76" w:rsidRPr="00113777">
        <w:rPr>
          <w:rFonts w:ascii="Arial" w:hAnsi="Arial" w:cs="Arial"/>
        </w:rPr>
        <w:t xml:space="preserve"> </w:t>
      </w:r>
      <w:r w:rsidRPr="00113777">
        <w:rPr>
          <w:rFonts w:ascii="Arial" w:hAnsi="Arial" w:cs="Arial"/>
        </w:rPr>
        <w:t>in communities at the membership office or council building, and</w:t>
      </w:r>
      <w:r w:rsidR="00CE6D76" w:rsidRPr="00113777">
        <w:rPr>
          <w:rFonts w:ascii="Arial" w:hAnsi="Arial" w:cs="Arial"/>
        </w:rPr>
        <w:t xml:space="preserve"> in</w:t>
      </w:r>
      <w:r w:rsidRPr="00113777">
        <w:rPr>
          <w:rFonts w:ascii="Arial" w:hAnsi="Arial" w:cs="Arial"/>
        </w:rPr>
        <w:t xml:space="preserve"> urban friendship centres.</w:t>
      </w:r>
    </w:p>
    <w:p w14:paraId="1A118041" w14:textId="7D4DAD1A" w:rsidR="00BD1037" w:rsidRPr="00113777" w:rsidRDefault="00832D66" w:rsidP="00EA5F08">
      <w:pPr>
        <w:spacing w:line="480" w:lineRule="auto"/>
        <w:rPr>
          <w:rFonts w:ascii="Arial" w:hAnsi="Arial" w:cs="Arial"/>
        </w:rPr>
      </w:pPr>
      <w:r w:rsidRPr="00113777">
        <w:rPr>
          <w:rFonts w:ascii="Arial" w:hAnsi="Arial" w:cs="Arial"/>
        </w:rPr>
        <w:t>Culturally responsive dispute resolution processes must be specific</w:t>
      </w:r>
      <w:r w:rsidR="00F73DC6" w:rsidRPr="00113777">
        <w:rPr>
          <w:rFonts w:ascii="Arial" w:hAnsi="Arial" w:cs="Arial"/>
        </w:rPr>
        <w:t xml:space="preserve"> and developed in consultation with the communities connected to each school board</w:t>
      </w:r>
      <w:r w:rsidR="00E75518" w:rsidRPr="00113777">
        <w:rPr>
          <w:rFonts w:ascii="Arial" w:hAnsi="Arial" w:cs="Arial"/>
        </w:rPr>
        <w:t xml:space="preserve"> (</w:t>
      </w:r>
      <w:r w:rsidR="00BD1037" w:rsidRPr="00113777">
        <w:rPr>
          <w:rFonts w:ascii="Arial" w:hAnsi="Arial" w:cs="Arial"/>
        </w:rPr>
        <w:t>UNDRIP Article 19</w:t>
      </w:r>
      <w:r w:rsidR="00E75518" w:rsidRPr="00113777">
        <w:rPr>
          <w:rFonts w:ascii="Arial" w:hAnsi="Arial" w:cs="Arial"/>
        </w:rPr>
        <w:t>). Plans for these processes must be submitted to Indigenous Education Advisory Committees annually for ongoing consultation and planning with local Indigenous communities.</w:t>
      </w:r>
    </w:p>
    <w:p w14:paraId="2C71EC25" w14:textId="7F3FF021" w:rsidR="00EA2F9E" w:rsidRPr="00113777" w:rsidRDefault="00B1428E" w:rsidP="00EA5F08">
      <w:pPr>
        <w:spacing w:line="480" w:lineRule="auto"/>
        <w:rPr>
          <w:rFonts w:ascii="Arial" w:hAnsi="Arial" w:cs="Arial"/>
        </w:rPr>
      </w:pPr>
      <w:r w:rsidRPr="00113777">
        <w:rPr>
          <w:rFonts w:ascii="Arial" w:hAnsi="Arial" w:cs="Arial"/>
        </w:rPr>
        <w:lastRenderedPageBreak/>
        <w:t>Plans for culturally responsive dispute resolution processes should identify the roles and responsibilities of all participants in the proce</w:t>
      </w:r>
      <w:r w:rsidR="00C92290" w:rsidRPr="00113777">
        <w:rPr>
          <w:rFonts w:ascii="Arial" w:hAnsi="Arial" w:cs="Arial"/>
        </w:rPr>
        <w:t>ss</w:t>
      </w:r>
      <w:r w:rsidR="006B44D8" w:rsidRPr="00113777">
        <w:rPr>
          <w:rFonts w:ascii="Arial" w:hAnsi="Arial" w:cs="Arial"/>
        </w:rPr>
        <w:t>. They should</w:t>
      </w:r>
      <w:r w:rsidR="00E37AEF" w:rsidRPr="00113777">
        <w:rPr>
          <w:rFonts w:ascii="Arial" w:hAnsi="Arial" w:cs="Arial"/>
        </w:rPr>
        <w:t xml:space="preserve"> </w:t>
      </w:r>
      <w:r w:rsidR="00732A88" w:rsidRPr="00113777">
        <w:rPr>
          <w:rFonts w:ascii="Arial" w:hAnsi="Arial" w:cs="Arial"/>
        </w:rPr>
        <w:t xml:space="preserve">describe </w:t>
      </w:r>
      <w:r w:rsidR="00E37AEF" w:rsidRPr="00113777">
        <w:rPr>
          <w:rFonts w:ascii="Arial" w:hAnsi="Arial" w:cs="Arial"/>
        </w:rPr>
        <w:t>how information collected in the process may be used</w:t>
      </w:r>
      <w:r w:rsidR="006B44D8" w:rsidRPr="00113777">
        <w:rPr>
          <w:rFonts w:ascii="Arial" w:hAnsi="Arial" w:cs="Arial"/>
        </w:rPr>
        <w:t xml:space="preserve"> </w:t>
      </w:r>
      <w:r w:rsidR="00C92290" w:rsidRPr="00113777">
        <w:rPr>
          <w:rFonts w:ascii="Arial" w:hAnsi="Arial" w:cs="Arial"/>
        </w:rPr>
        <w:t xml:space="preserve">and </w:t>
      </w:r>
      <w:r w:rsidR="001B0B3B" w:rsidRPr="00113777">
        <w:rPr>
          <w:rFonts w:ascii="Arial" w:hAnsi="Arial" w:cs="Arial"/>
        </w:rPr>
        <w:t>outline expectations</w:t>
      </w:r>
      <w:r w:rsidR="00403447" w:rsidRPr="00113777">
        <w:rPr>
          <w:rFonts w:ascii="Arial" w:hAnsi="Arial" w:cs="Arial"/>
        </w:rPr>
        <w:t xml:space="preserve">, including </w:t>
      </w:r>
      <w:r w:rsidR="00C0164F" w:rsidRPr="00113777">
        <w:rPr>
          <w:rFonts w:ascii="Arial" w:hAnsi="Arial" w:cs="Arial"/>
        </w:rPr>
        <w:t>confirming that consequences outside of the process</w:t>
      </w:r>
      <w:r w:rsidR="006B44D8" w:rsidRPr="00113777">
        <w:rPr>
          <w:rFonts w:ascii="Arial" w:hAnsi="Arial" w:cs="Arial"/>
        </w:rPr>
        <w:t xml:space="preserve"> (</w:t>
      </w:r>
      <w:r w:rsidR="00C0164F" w:rsidRPr="00113777">
        <w:rPr>
          <w:rFonts w:ascii="Arial" w:hAnsi="Arial" w:cs="Arial"/>
        </w:rPr>
        <w:t>such as the determination by the school board that discipline and/or a report to the regulator are required</w:t>
      </w:r>
      <w:r w:rsidR="006B44D8" w:rsidRPr="00113777">
        <w:rPr>
          <w:rFonts w:ascii="Arial" w:hAnsi="Arial" w:cs="Arial"/>
        </w:rPr>
        <w:t xml:space="preserve">) </w:t>
      </w:r>
      <w:r w:rsidR="00C0164F" w:rsidRPr="00113777">
        <w:rPr>
          <w:rFonts w:ascii="Arial" w:hAnsi="Arial" w:cs="Arial"/>
        </w:rPr>
        <w:t xml:space="preserve">may follow. </w:t>
      </w:r>
      <w:r w:rsidR="00C97D0B" w:rsidRPr="00113777">
        <w:rPr>
          <w:rFonts w:ascii="Arial" w:hAnsi="Arial" w:cs="Arial"/>
        </w:rPr>
        <w:t xml:space="preserve">It is </w:t>
      </w:r>
      <w:r w:rsidR="00524FE3" w:rsidRPr="00113777">
        <w:rPr>
          <w:rFonts w:ascii="Arial" w:hAnsi="Arial" w:cs="Arial"/>
        </w:rPr>
        <w:t xml:space="preserve">important to emphasize </w:t>
      </w:r>
      <w:r w:rsidR="000F6403" w:rsidRPr="00113777">
        <w:rPr>
          <w:rFonts w:ascii="Arial" w:hAnsi="Arial" w:cs="Arial"/>
        </w:rPr>
        <w:t xml:space="preserve">that </w:t>
      </w:r>
      <w:r w:rsidR="00524FE3" w:rsidRPr="00113777">
        <w:rPr>
          <w:rFonts w:ascii="Arial" w:hAnsi="Arial" w:cs="Arial"/>
        </w:rPr>
        <w:t>restorative justice is not meant to replace consequences.</w:t>
      </w:r>
      <w:r w:rsidR="00F675AB" w:rsidRPr="00113777">
        <w:rPr>
          <w:rFonts w:ascii="Arial" w:hAnsi="Arial" w:cs="Arial"/>
        </w:rPr>
        <w:t xml:space="preserve"> </w:t>
      </w:r>
      <w:r w:rsidR="00B91463" w:rsidRPr="00113777">
        <w:rPr>
          <w:rFonts w:ascii="Arial" w:hAnsi="Arial" w:cs="Arial"/>
        </w:rPr>
        <w:t xml:space="preserve">In fact, </w:t>
      </w:r>
      <w:r w:rsidR="00EA2F9E" w:rsidRPr="00113777">
        <w:rPr>
          <w:rFonts w:ascii="Arial" w:hAnsi="Arial" w:cs="Arial"/>
        </w:rPr>
        <w:t>trying to</w:t>
      </w:r>
      <w:r w:rsidR="00B91463" w:rsidRPr="00113777">
        <w:rPr>
          <w:rFonts w:ascii="Arial" w:hAnsi="Arial" w:cs="Arial"/>
        </w:rPr>
        <w:t xml:space="preserve"> engage Indigenous families in these processes without consequences for those who are found to have caused harm will only </w:t>
      </w:r>
      <w:r w:rsidR="00C97D0B" w:rsidRPr="00113777">
        <w:rPr>
          <w:rFonts w:ascii="Arial" w:hAnsi="Arial" w:cs="Arial"/>
        </w:rPr>
        <w:t xml:space="preserve">reinforce the distance </w:t>
      </w:r>
      <w:r w:rsidR="00F47A9B" w:rsidRPr="00113777">
        <w:rPr>
          <w:rFonts w:ascii="Arial" w:hAnsi="Arial" w:cs="Arial"/>
        </w:rPr>
        <w:t xml:space="preserve">between Indigenous families and </w:t>
      </w:r>
      <w:r w:rsidR="00010B8D" w:rsidRPr="00113777">
        <w:rPr>
          <w:rFonts w:ascii="Arial" w:hAnsi="Arial" w:cs="Arial"/>
        </w:rPr>
        <w:t xml:space="preserve">the </w:t>
      </w:r>
      <w:r w:rsidR="00F47A9B" w:rsidRPr="00113777">
        <w:rPr>
          <w:rFonts w:ascii="Arial" w:hAnsi="Arial" w:cs="Arial"/>
        </w:rPr>
        <w:t>education syst</w:t>
      </w:r>
      <w:r w:rsidR="00010B8D" w:rsidRPr="00113777">
        <w:rPr>
          <w:rFonts w:ascii="Arial" w:hAnsi="Arial" w:cs="Arial"/>
        </w:rPr>
        <w:t xml:space="preserve">em. When nothing was done in the past to remedy wrongs, families </w:t>
      </w:r>
      <w:r w:rsidR="006B44D8" w:rsidRPr="00113777">
        <w:rPr>
          <w:rFonts w:ascii="Arial" w:hAnsi="Arial" w:cs="Arial"/>
        </w:rPr>
        <w:t xml:space="preserve">that participated in these processes </w:t>
      </w:r>
      <w:proofErr w:type="gramStart"/>
      <w:r w:rsidR="00EA2F9E" w:rsidRPr="00113777">
        <w:rPr>
          <w:rFonts w:ascii="Arial" w:hAnsi="Arial" w:cs="Arial"/>
        </w:rPr>
        <w:t>ask</w:t>
      </w:r>
      <w:r w:rsidR="0022531C" w:rsidRPr="00113777">
        <w:rPr>
          <w:rFonts w:ascii="Arial" w:hAnsi="Arial" w:cs="Arial"/>
        </w:rPr>
        <w:t>ed</w:t>
      </w:r>
      <w:proofErr w:type="gramEnd"/>
      <w:r w:rsidR="00EA2F9E" w:rsidRPr="00113777">
        <w:rPr>
          <w:rFonts w:ascii="Arial" w:hAnsi="Arial" w:cs="Arial"/>
        </w:rPr>
        <w:t xml:space="preserve"> ‘what is the point</w:t>
      </w:r>
      <w:r w:rsidR="000F6403" w:rsidRPr="00113777">
        <w:rPr>
          <w:rFonts w:ascii="Arial" w:hAnsi="Arial" w:cs="Arial"/>
        </w:rPr>
        <w:t>?</w:t>
      </w:r>
      <w:r w:rsidR="00EA2F9E" w:rsidRPr="00113777">
        <w:rPr>
          <w:rFonts w:ascii="Arial" w:hAnsi="Arial" w:cs="Arial"/>
        </w:rPr>
        <w:t>’</w:t>
      </w:r>
    </w:p>
    <w:p w14:paraId="297D1991" w14:textId="6A4470BD" w:rsidR="00D37D65" w:rsidRPr="00113777" w:rsidRDefault="00D37D65" w:rsidP="00551F56">
      <w:pPr>
        <w:spacing w:line="480" w:lineRule="auto"/>
        <w:rPr>
          <w:rFonts w:ascii="Arial" w:hAnsi="Arial" w:cs="Arial"/>
        </w:rPr>
      </w:pPr>
      <w:r w:rsidRPr="00113777">
        <w:rPr>
          <w:rFonts w:ascii="Arial" w:hAnsi="Arial" w:cs="Arial"/>
        </w:rPr>
        <w:t>It is also important that anyone</w:t>
      </w:r>
      <w:r w:rsidR="006B44D8" w:rsidRPr="00113777">
        <w:rPr>
          <w:rFonts w:ascii="Arial" w:hAnsi="Arial" w:cs="Arial"/>
        </w:rPr>
        <w:t xml:space="preserve"> carrying out </w:t>
      </w:r>
      <w:r w:rsidR="006A4C5F" w:rsidRPr="00113777">
        <w:rPr>
          <w:rFonts w:ascii="Arial" w:hAnsi="Arial" w:cs="Arial"/>
        </w:rPr>
        <w:t xml:space="preserve">complaint investigations and/or complaint resolution processes </w:t>
      </w:r>
      <w:r w:rsidR="006B44D8" w:rsidRPr="00113777">
        <w:rPr>
          <w:rFonts w:ascii="Arial" w:hAnsi="Arial" w:cs="Arial"/>
        </w:rPr>
        <w:t>is</w:t>
      </w:r>
      <w:r w:rsidR="006A4C5F" w:rsidRPr="00113777">
        <w:rPr>
          <w:rFonts w:ascii="Arial" w:hAnsi="Arial" w:cs="Arial"/>
        </w:rPr>
        <w:t xml:space="preserve"> trained and educated </w:t>
      </w:r>
      <w:r w:rsidR="006B44D8" w:rsidRPr="00113777">
        <w:rPr>
          <w:rFonts w:ascii="Arial" w:hAnsi="Arial" w:cs="Arial"/>
        </w:rPr>
        <w:t>about</w:t>
      </w:r>
      <w:r w:rsidR="006A4C5F" w:rsidRPr="00113777">
        <w:rPr>
          <w:rFonts w:ascii="Arial" w:hAnsi="Arial" w:cs="Arial"/>
        </w:rPr>
        <w:t xml:space="preserve"> the history and impacts of residential schools and solutions for healing</w:t>
      </w:r>
      <w:r w:rsidR="00032388" w:rsidRPr="00113777">
        <w:rPr>
          <w:rFonts w:ascii="Arial" w:hAnsi="Arial" w:cs="Arial"/>
        </w:rPr>
        <w:t xml:space="preserve"> in response to</w:t>
      </w:r>
      <w:r w:rsidR="00B04F60" w:rsidRPr="00113777">
        <w:rPr>
          <w:rFonts w:ascii="Arial" w:hAnsi="Arial" w:cs="Arial"/>
        </w:rPr>
        <w:t xml:space="preserve"> TRC</w:t>
      </w:r>
      <w:r w:rsidR="00032388" w:rsidRPr="00113777">
        <w:rPr>
          <w:rFonts w:ascii="Arial" w:hAnsi="Arial" w:cs="Arial"/>
        </w:rPr>
        <w:t xml:space="preserve"> </w:t>
      </w:r>
      <w:r w:rsidR="004B2B58" w:rsidRPr="00113777">
        <w:rPr>
          <w:rFonts w:ascii="Arial" w:hAnsi="Arial" w:cs="Arial"/>
        </w:rPr>
        <w:t>Call to Action 1 (iii, iv, v)</w:t>
      </w:r>
      <w:r w:rsidR="00AD6142" w:rsidRPr="00113777">
        <w:rPr>
          <w:rStyle w:val="FootnoteReference"/>
          <w:rFonts w:ascii="Arial" w:hAnsi="Arial" w:cs="Arial"/>
        </w:rPr>
        <w:footnoteReference w:id="9"/>
      </w:r>
      <w:r w:rsidR="00032388" w:rsidRPr="00113777">
        <w:rPr>
          <w:rFonts w:ascii="Arial" w:hAnsi="Arial" w:cs="Arial"/>
        </w:rPr>
        <w:t xml:space="preserve">. </w:t>
      </w:r>
    </w:p>
    <w:p w14:paraId="3F4A8626" w14:textId="4FC53FE4" w:rsidR="000C2E2C" w:rsidRPr="00113777" w:rsidRDefault="00773FA6" w:rsidP="007B16F0">
      <w:pPr>
        <w:spacing w:line="480" w:lineRule="auto"/>
        <w:rPr>
          <w:rFonts w:ascii="Arial" w:hAnsi="Arial" w:cs="Arial"/>
        </w:rPr>
      </w:pPr>
      <w:r w:rsidRPr="00113777">
        <w:rPr>
          <w:rFonts w:ascii="Arial" w:hAnsi="Arial" w:cs="Arial"/>
        </w:rPr>
        <w:t>T</w:t>
      </w:r>
      <w:r w:rsidR="009A47BA" w:rsidRPr="00113777">
        <w:rPr>
          <w:rFonts w:ascii="Arial" w:hAnsi="Arial" w:cs="Arial"/>
        </w:rPr>
        <w:t>he ongoing practice of reconciliation must be undertaken by every stakeholder in the education system.</w:t>
      </w:r>
      <w:r w:rsidR="003005AD" w:rsidRPr="00113777">
        <w:rPr>
          <w:rFonts w:ascii="Arial" w:hAnsi="Arial" w:cs="Arial"/>
        </w:rPr>
        <w:t xml:space="preserve"> </w:t>
      </w:r>
      <w:r w:rsidR="00D83C18" w:rsidRPr="00113777">
        <w:rPr>
          <w:rFonts w:ascii="Arial" w:hAnsi="Arial" w:cs="Arial"/>
        </w:rPr>
        <w:t>Mandatory pr</w:t>
      </w:r>
      <w:r w:rsidR="00915ABA" w:rsidRPr="00113777">
        <w:rPr>
          <w:rFonts w:ascii="Arial" w:hAnsi="Arial" w:cs="Arial"/>
        </w:rPr>
        <w:t xml:space="preserve">ofessional development and training for public servants </w:t>
      </w:r>
      <w:r w:rsidR="006B44D8" w:rsidRPr="00113777">
        <w:rPr>
          <w:rFonts w:ascii="Arial" w:hAnsi="Arial" w:cs="Arial"/>
        </w:rPr>
        <w:t>about</w:t>
      </w:r>
      <w:r w:rsidR="00915ABA" w:rsidRPr="00113777">
        <w:rPr>
          <w:rFonts w:ascii="Arial" w:hAnsi="Arial" w:cs="Arial"/>
        </w:rPr>
        <w:t xml:space="preserve"> the legacy, history and impact of residential schools</w:t>
      </w:r>
      <w:r w:rsidR="00D83C18" w:rsidRPr="00113777">
        <w:rPr>
          <w:rFonts w:ascii="Arial" w:hAnsi="Arial" w:cs="Arial"/>
        </w:rPr>
        <w:t xml:space="preserve"> in response to Call to Action 57 must</w:t>
      </w:r>
      <w:r w:rsidR="00573A3D" w:rsidRPr="00113777">
        <w:rPr>
          <w:rFonts w:ascii="Arial" w:hAnsi="Arial" w:cs="Arial"/>
        </w:rPr>
        <w:t xml:space="preserve"> be undertaken</w:t>
      </w:r>
      <w:r w:rsidR="006B44D8" w:rsidRPr="00113777">
        <w:rPr>
          <w:rFonts w:ascii="Arial" w:hAnsi="Arial" w:cs="Arial"/>
        </w:rPr>
        <w:t>. That professional development must</w:t>
      </w:r>
      <w:r w:rsidR="00573A3D" w:rsidRPr="00113777">
        <w:rPr>
          <w:rFonts w:ascii="Arial" w:hAnsi="Arial" w:cs="Arial"/>
        </w:rPr>
        <w:t xml:space="preserve"> </w:t>
      </w:r>
      <w:r w:rsidR="00E479F7" w:rsidRPr="00113777">
        <w:rPr>
          <w:rFonts w:ascii="Arial" w:hAnsi="Arial" w:cs="Arial"/>
        </w:rPr>
        <w:t xml:space="preserve">include all </w:t>
      </w:r>
      <w:r w:rsidR="00F953DB" w:rsidRPr="00113777">
        <w:rPr>
          <w:rFonts w:ascii="Arial" w:hAnsi="Arial" w:cs="Arial"/>
        </w:rPr>
        <w:t>trustees</w:t>
      </w:r>
      <w:r w:rsidR="00E479F7" w:rsidRPr="00113777">
        <w:rPr>
          <w:rFonts w:ascii="Arial" w:hAnsi="Arial" w:cs="Arial"/>
        </w:rPr>
        <w:t xml:space="preserve">, </w:t>
      </w:r>
      <w:r w:rsidR="00F953DB" w:rsidRPr="00113777">
        <w:rPr>
          <w:rFonts w:ascii="Arial" w:hAnsi="Arial" w:cs="Arial"/>
        </w:rPr>
        <w:t xml:space="preserve">senior administration </w:t>
      </w:r>
      <w:r w:rsidR="00E479F7" w:rsidRPr="00113777">
        <w:rPr>
          <w:rFonts w:ascii="Arial" w:hAnsi="Arial" w:cs="Arial"/>
        </w:rPr>
        <w:t>and school board staff</w:t>
      </w:r>
      <w:r w:rsidR="00573A3D" w:rsidRPr="00113777">
        <w:rPr>
          <w:rFonts w:ascii="Arial" w:hAnsi="Arial" w:cs="Arial"/>
        </w:rPr>
        <w:t>.</w:t>
      </w:r>
      <w:r w:rsidR="00010C6B" w:rsidRPr="00113777">
        <w:rPr>
          <w:rFonts w:ascii="Arial" w:hAnsi="Arial" w:cs="Arial"/>
        </w:rPr>
        <w:t xml:space="preserve"> Cultural safety training</w:t>
      </w:r>
      <w:r w:rsidR="00E34358" w:rsidRPr="00113777">
        <w:rPr>
          <w:rFonts w:ascii="Arial" w:hAnsi="Arial" w:cs="Arial"/>
        </w:rPr>
        <w:t xml:space="preserve"> for everyone engaged in the provision of services, </w:t>
      </w:r>
      <w:proofErr w:type="gramStart"/>
      <w:r w:rsidR="00E34358" w:rsidRPr="00113777">
        <w:rPr>
          <w:rFonts w:ascii="Arial" w:hAnsi="Arial" w:cs="Arial"/>
        </w:rPr>
        <w:t>similar to</w:t>
      </w:r>
      <w:proofErr w:type="gramEnd"/>
      <w:r w:rsidR="00E34358" w:rsidRPr="00113777">
        <w:rPr>
          <w:rFonts w:ascii="Arial" w:hAnsi="Arial" w:cs="Arial"/>
        </w:rPr>
        <w:t xml:space="preserve"> the training developed for health services, should also be required along with proactive and on-going </w:t>
      </w:r>
      <w:r w:rsidR="006C6BE5" w:rsidRPr="00113777">
        <w:rPr>
          <w:rFonts w:ascii="Arial" w:hAnsi="Arial" w:cs="Arial"/>
        </w:rPr>
        <w:t>staff training in anti-oppression and anti-racism.</w:t>
      </w:r>
    </w:p>
    <w:p w14:paraId="29093BAB" w14:textId="12FA30C4" w:rsidR="0051473D" w:rsidRPr="00113777" w:rsidRDefault="00C75D67" w:rsidP="007B16F0">
      <w:pPr>
        <w:spacing w:line="480" w:lineRule="auto"/>
        <w:rPr>
          <w:rFonts w:ascii="Arial" w:hAnsi="Arial" w:cs="Arial"/>
        </w:rPr>
      </w:pPr>
      <w:r w:rsidRPr="00113777">
        <w:rPr>
          <w:rFonts w:ascii="Arial" w:hAnsi="Arial" w:cs="Arial"/>
        </w:rPr>
        <w:t>Finally, the Indigenous Education Lead must be charged</w:t>
      </w:r>
      <w:r w:rsidR="00FE216E" w:rsidRPr="00113777">
        <w:rPr>
          <w:rFonts w:ascii="Arial" w:hAnsi="Arial" w:cs="Arial"/>
        </w:rPr>
        <w:t xml:space="preserve"> </w:t>
      </w:r>
      <w:r w:rsidRPr="00113777">
        <w:rPr>
          <w:rFonts w:ascii="Arial" w:hAnsi="Arial" w:cs="Arial"/>
        </w:rPr>
        <w:t>with the reporting of data in the Board Action Plan for Indigenous Education for students who identify as First Nation, Métis or Inuit.</w:t>
      </w:r>
      <w:r w:rsidR="00BE2FA8" w:rsidRPr="00113777">
        <w:rPr>
          <w:rFonts w:ascii="Arial" w:hAnsi="Arial" w:cs="Arial"/>
        </w:rPr>
        <w:t xml:space="preserve"> </w:t>
      </w:r>
    </w:p>
    <w:p w14:paraId="6242DD1F" w14:textId="77777777" w:rsidR="001854F7" w:rsidRPr="00113777" w:rsidRDefault="00E518A1" w:rsidP="00BE2FA8">
      <w:pPr>
        <w:pStyle w:val="Heading1"/>
      </w:pPr>
      <w:bookmarkStart w:id="17" w:name="_Toc77934721"/>
      <w:r w:rsidRPr="00113777">
        <w:lastRenderedPageBreak/>
        <w:t>Complaint Procedures</w:t>
      </w:r>
      <w:r w:rsidR="00605E27" w:rsidRPr="00113777">
        <w:t>: ETFO Experience</w:t>
      </w:r>
      <w:bookmarkEnd w:id="17"/>
      <w:r w:rsidR="00605E27" w:rsidRPr="00113777">
        <w:t xml:space="preserve"> </w:t>
      </w:r>
      <w:r w:rsidRPr="00113777">
        <w:t xml:space="preserve"> </w:t>
      </w:r>
    </w:p>
    <w:p w14:paraId="3A29CB79" w14:textId="77777777" w:rsidR="002446EA" w:rsidRPr="00113777" w:rsidRDefault="00605E27" w:rsidP="00720639">
      <w:pPr>
        <w:spacing w:line="480" w:lineRule="auto"/>
        <w:rPr>
          <w:rFonts w:ascii="Arial" w:hAnsi="Arial" w:cs="Arial"/>
        </w:rPr>
      </w:pPr>
      <w:r w:rsidRPr="00113777">
        <w:rPr>
          <w:rFonts w:ascii="Arial" w:hAnsi="Arial" w:cs="Arial"/>
        </w:rPr>
        <w:t xml:space="preserve">As noted earlier </w:t>
      </w:r>
      <w:r w:rsidR="00BF734A" w:rsidRPr="00113777">
        <w:rPr>
          <w:rFonts w:ascii="Arial" w:hAnsi="Arial" w:cs="Arial"/>
        </w:rPr>
        <w:t xml:space="preserve">in </w:t>
      </w:r>
      <w:r w:rsidRPr="00113777">
        <w:rPr>
          <w:rFonts w:ascii="Arial" w:hAnsi="Arial" w:cs="Arial"/>
        </w:rPr>
        <w:t>th</w:t>
      </w:r>
      <w:r w:rsidR="00BF734A" w:rsidRPr="00113777">
        <w:rPr>
          <w:rFonts w:ascii="Arial" w:hAnsi="Arial" w:cs="Arial"/>
        </w:rPr>
        <w:t>is</w:t>
      </w:r>
      <w:r w:rsidRPr="00113777">
        <w:rPr>
          <w:rFonts w:ascii="Arial" w:hAnsi="Arial" w:cs="Arial"/>
        </w:rPr>
        <w:t xml:space="preserve"> submission, </w:t>
      </w:r>
      <w:r w:rsidR="00137F26" w:rsidRPr="00113777">
        <w:rPr>
          <w:rFonts w:ascii="Arial" w:hAnsi="Arial" w:cs="Arial"/>
        </w:rPr>
        <w:t xml:space="preserve">workplace </w:t>
      </w:r>
      <w:r w:rsidRPr="00113777">
        <w:rPr>
          <w:rFonts w:ascii="Arial" w:hAnsi="Arial" w:cs="Arial"/>
        </w:rPr>
        <w:t xml:space="preserve">harassment and discrimination policies and procedures have been in place for </w:t>
      </w:r>
      <w:r w:rsidR="00175954" w:rsidRPr="00113777">
        <w:rPr>
          <w:rFonts w:ascii="Arial" w:hAnsi="Arial" w:cs="Arial"/>
        </w:rPr>
        <w:t>many years</w:t>
      </w:r>
      <w:r w:rsidRPr="00113777">
        <w:rPr>
          <w:rFonts w:ascii="Arial" w:hAnsi="Arial" w:cs="Arial"/>
        </w:rPr>
        <w:t xml:space="preserve"> in</w:t>
      </w:r>
      <w:r w:rsidR="00BF734A" w:rsidRPr="00113777">
        <w:rPr>
          <w:rFonts w:ascii="Arial" w:hAnsi="Arial" w:cs="Arial"/>
        </w:rPr>
        <w:t xml:space="preserve"> school</w:t>
      </w:r>
      <w:r w:rsidRPr="00113777">
        <w:rPr>
          <w:rFonts w:ascii="Arial" w:hAnsi="Arial" w:cs="Arial"/>
        </w:rPr>
        <w:t xml:space="preserve"> </w:t>
      </w:r>
      <w:r w:rsidR="004F510A" w:rsidRPr="00113777">
        <w:rPr>
          <w:rFonts w:ascii="Arial" w:hAnsi="Arial" w:cs="Arial"/>
        </w:rPr>
        <w:t>boards across the province</w:t>
      </w:r>
      <w:r w:rsidR="00850B28" w:rsidRPr="00113777">
        <w:rPr>
          <w:rFonts w:ascii="Arial" w:hAnsi="Arial" w:cs="Arial"/>
        </w:rPr>
        <w:t>.</w:t>
      </w:r>
      <w:r w:rsidR="00CB4406" w:rsidRPr="00113777">
        <w:rPr>
          <w:rFonts w:ascii="Arial" w:hAnsi="Arial" w:cs="Arial"/>
        </w:rPr>
        <w:t xml:space="preserve"> </w:t>
      </w:r>
      <w:r w:rsidR="00B04DEE" w:rsidRPr="00113777">
        <w:rPr>
          <w:rFonts w:ascii="Arial" w:hAnsi="Arial" w:cs="Arial"/>
        </w:rPr>
        <w:t xml:space="preserve">As processes that are reactive and place </w:t>
      </w:r>
      <w:r w:rsidR="00624F40" w:rsidRPr="00113777">
        <w:rPr>
          <w:rFonts w:ascii="Arial" w:hAnsi="Arial" w:cs="Arial"/>
        </w:rPr>
        <w:t xml:space="preserve">responsibility for </w:t>
      </w:r>
      <w:r w:rsidR="00B04DEE" w:rsidRPr="00113777">
        <w:rPr>
          <w:rFonts w:ascii="Arial" w:hAnsi="Arial" w:cs="Arial"/>
        </w:rPr>
        <w:t xml:space="preserve">upholding human rights on the individuals experiencing </w:t>
      </w:r>
      <w:r w:rsidR="00E33EDD" w:rsidRPr="00113777">
        <w:rPr>
          <w:rFonts w:ascii="Arial" w:hAnsi="Arial" w:cs="Arial"/>
        </w:rPr>
        <w:t>discrimination, individual complaint policies and procedures should not be the focus of any equity strategy</w:t>
      </w:r>
      <w:r w:rsidR="00D067C6" w:rsidRPr="00113777">
        <w:rPr>
          <w:rFonts w:ascii="Arial" w:hAnsi="Arial" w:cs="Arial"/>
        </w:rPr>
        <w:t xml:space="preserve">. </w:t>
      </w:r>
    </w:p>
    <w:p w14:paraId="482C2E32" w14:textId="77777777" w:rsidR="00B11322" w:rsidRPr="00113777" w:rsidRDefault="005A69A8" w:rsidP="00720639">
      <w:pPr>
        <w:spacing w:line="480" w:lineRule="auto"/>
        <w:rPr>
          <w:rFonts w:ascii="Arial" w:hAnsi="Arial" w:cs="Arial"/>
        </w:rPr>
      </w:pPr>
      <w:r w:rsidRPr="00113777">
        <w:rPr>
          <w:rFonts w:ascii="Arial" w:hAnsi="Arial" w:cs="Arial"/>
        </w:rPr>
        <w:t xml:space="preserve">ETFO believes </w:t>
      </w:r>
      <w:r w:rsidR="00D31CDA" w:rsidRPr="00113777">
        <w:rPr>
          <w:rFonts w:ascii="Arial" w:hAnsi="Arial" w:cs="Arial"/>
        </w:rPr>
        <w:t xml:space="preserve">that when school boards </w:t>
      </w:r>
      <w:r w:rsidRPr="00113777">
        <w:rPr>
          <w:rFonts w:ascii="Arial" w:hAnsi="Arial" w:cs="Arial"/>
        </w:rPr>
        <w:t>mak</w:t>
      </w:r>
      <w:r w:rsidR="00D31CDA" w:rsidRPr="00113777">
        <w:rPr>
          <w:rFonts w:ascii="Arial" w:hAnsi="Arial" w:cs="Arial"/>
        </w:rPr>
        <w:t>e</w:t>
      </w:r>
      <w:r w:rsidRPr="00113777">
        <w:rPr>
          <w:rFonts w:ascii="Arial" w:hAnsi="Arial" w:cs="Arial"/>
        </w:rPr>
        <w:t xml:space="preserve"> visible, tangible commitments</w:t>
      </w:r>
      <w:r w:rsidR="00D31CDA" w:rsidRPr="00113777">
        <w:rPr>
          <w:rFonts w:ascii="Arial" w:hAnsi="Arial" w:cs="Arial"/>
        </w:rPr>
        <w:t xml:space="preserve"> to</w:t>
      </w:r>
      <w:r w:rsidR="00B11322" w:rsidRPr="00113777">
        <w:rPr>
          <w:rFonts w:ascii="Arial" w:hAnsi="Arial" w:cs="Arial"/>
        </w:rPr>
        <w:t xml:space="preserve"> fairness,</w:t>
      </w:r>
      <w:r w:rsidR="00D31CDA" w:rsidRPr="00113777">
        <w:rPr>
          <w:rFonts w:ascii="Arial" w:hAnsi="Arial" w:cs="Arial"/>
        </w:rPr>
        <w:t xml:space="preserve"> equity, anti-discrimination and anti-racism in collective agreements (e.g., </w:t>
      </w:r>
      <w:r w:rsidRPr="00113777">
        <w:rPr>
          <w:rFonts w:ascii="Arial" w:hAnsi="Arial" w:cs="Arial"/>
        </w:rPr>
        <w:t>including</w:t>
      </w:r>
      <w:r w:rsidR="00D31CDA" w:rsidRPr="00113777">
        <w:rPr>
          <w:rFonts w:ascii="Arial" w:hAnsi="Arial" w:cs="Arial"/>
        </w:rPr>
        <w:t xml:space="preserve"> management rights language that explicitly indicates those rights will be exercised reasonably, equitably and fairly, </w:t>
      </w:r>
      <w:r w:rsidRPr="00113777">
        <w:rPr>
          <w:rFonts w:ascii="Arial" w:hAnsi="Arial" w:cs="Arial"/>
        </w:rPr>
        <w:t>or</w:t>
      </w:r>
      <w:r w:rsidR="00D31CDA" w:rsidRPr="00113777">
        <w:rPr>
          <w:rFonts w:ascii="Arial" w:hAnsi="Arial" w:cs="Arial"/>
        </w:rPr>
        <w:t xml:space="preserve"> ensuring that all protected grounds under the </w:t>
      </w:r>
      <w:r w:rsidR="00D31CDA" w:rsidRPr="00113777">
        <w:rPr>
          <w:rFonts w:ascii="Arial" w:hAnsi="Arial" w:cs="Arial"/>
          <w:i/>
        </w:rPr>
        <w:t>Human Rights Code</w:t>
      </w:r>
      <w:r w:rsidR="00D31CDA" w:rsidRPr="00113777">
        <w:rPr>
          <w:rFonts w:ascii="Arial" w:hAnsi="Arial" w:cs="Arial"/>
        </w:rPr>
        <w:t xml:space="preserve"> are listed in a collective agreement), they i</w:t>
      </w:r>
      <w:r w:rsidRPr="00113777">
        <w:rPr>
          <w:rFonts w:ascii="Arial" w:hAnsi="Arial" w:cs="Arial"/>
        </w:rPr>
        <w:t xml:space="preserve">ncrease the trust level of </w:t>
      </w:r>
      <w:r w:rsidR="00D31CDA" w:rsidRPr="00113777">
        <w:rPr>
          <w:rFonts w:ascii="Arial" w:hAnsi="Arial" w:cs="Arial"/>
        </w:rPr>
        <w:t>staff members</w:t>
      </w:r>
      <w:r w:rsidRPr="00113777">
        <w:rPr>
          <w:rFonts w:ascii="Arial" w:hAnsi="Arial" w:cs="Arial"/>
        </w:rPr>
        <w:t xml:space="preserve"> who may not feel comfortable coming forward with incidents of harassment/discrimination because they do not believe the board will take their concerns seriously. </w:t>
      </w:r>
      <w:r w:rsidR="00FE216E" w:rsidRPr="00113777">
        <w:rPr>
          <w:rFonts w:ascii="Arial" w:hAnsi="Arial" w:cs="Arial"/>
        </w:rPr>
        <w:t xml:space="preserve">Unfortunately, there are school boards that have difficulty making such visible and concrete commitments </w:t>
      </w:r>
      <w:r w:rsidRPr="00113777">
        <w:rPr>
          <w:rFonts w:ascii="Arial" w:hAnsi="Arial" w:cs="Arial"/>
        </w:rPr>
        <w:t>to creating and maintaining an inclusive environment where everyone’s rights are understood, validated and protected.</w:t>
      </w:r>
    </w:p>
    <w:p w14:paraId="167EBD46" w14:textId="3C9F5928" w:rsidR="00720639" w:rsidRPr="00113777" w:rsidRDefault="00720639" w:rsidP="00720639">
      <w:pPr>
        <w:spacing w:line="480" w:lineRule="auto"/>
        <w:rPr>
          <w:rFonts w:ascii="Arial" w:hAnsi="Arial" w:cs="Arial"/>
        </w:rPr>
      </w:pPr>
      <w:r w:rsidRPr="00113777">
        <w:rPr>
          <w:rFonts w:ascii="Arial" w:hAnsi="Arial" w:cs="Arial"/>
        </w:rPr>
        <w:t>The Toronto District School Board’s</w:t>
      </w:r>
      <w:r w:rsidR="00090D9F" w:rsidRPr="00113777">
        <w:rPr>
          <w:rFonts w:ascii="Arial" w:hAnsi="Arial" w:cs="Arial"/>
        </w:rPr>
        <w:t xml:space="preserve"> (TDSB)</w:t>
      </w:r>
      <w:r w:rsidRPr="00113777">
        <w:rPr>
          <w:rFonts w:ascii="Arial" w:hAnsi="Arial" w:cs="Arial"/>
        </w:rPr>
        <w:t xml:space="preserve"> </w:t>
      </w:r>
      <w:r w:rsidRPr="00113777">
        <w:rPr>
          <w:rFonts w:ascii="Arial" w:hAnsi="Arial" w:cs="Arial"/>
          <w:i/>
          <w:iCs/>
        </w:rPr>
        <w:t>Human Rights Update: Annual Report 2018-2020</w:t>
      </w:r>
      <w:r w:rsidRPr="00113777">
        <w:rPr>
          <w:rFonts w:ascii="Arial" w:hAnsi="Arial" w:cs="Arial"/>
        </w:rPr>
        <w:t>, released in March 2021</w:t>
      </w:r>
      <w:r w:rsidR="009A0890" w:rsidRPr="00113777">
        <w:rPr>
          <w:rStyle w:val="FootnoteReference"/>
          <w:rFonts w:ascii="Arial" w:hAnsi="Arial" w:cs="Arial"/>
        </w:rPr>
        <w:footnoteReference w:id="10"/>
      </w:r>
      <w:r w:rsidR="00307E4D" w:rsidRPr="00113777">
        <w:rPr>
          <w:rFonts w:ascii="Arial" w:hAnsi="Arial" w:cs="Arial"/>
        </w:rPr>
        <w:t>, rei</w:t>
      </w:r>
      <w:r w:rsidR="005966BA" w:rsidRPr="00113777">
        <w:rPr>
          <w:rFonts w:ascii="Arial" w:hAnsi="Arial" w:cs="Arial"/>
        </w:rPr>
        <w:t>nforces why the</w:t>
      </w:r>
      <w:r w:rsidR="00E85E25" w:rsidRPr="00113777">
        <w:rPr>
          <w:rFonts w:ascii="Arial" w:hAnsi="Arial" w:cs="Arial"/>
        </w:rPr>
        <w:t xml:space="preserve"> fair, reasonable and equitable</w:t>
      </w:r>
      <w:r w:rsidR="005966BA" w:rsidRPr="00113777">
        <w:rPr>
          <w:rFonts w:ascii="Arial" w:hAnsi="Arial" w:cs="Arial"/>
        </w:rPr>
        <w:t xml:space="preserve"> exercise of management rights is so important in upholding human </w:t>
      </w:r>
      <w:r w:rsidR="00AC46EF" w:rsidRPr="00113777">
        <w:rPr>
          <w:rFonts w:ascii="Arial" w:hAnsi="Arial" w:cs="Arial"/>
        </w:rPr>
        <w:t xml:space="preserve">rights. </w:t>
      </w:r>
      <w:r w:rsidR="000F6403" w:rsidRPr="00113777">
        <w:rPr>
          <w:rFonts w:ascii="Arial" w:hAnsi="Arial" w:cs="Arial"/>
        </w:rPr>
        <w:t xml:space="preserve">It </w:t>
      </w:r>
      <w:r w:rsidRPr="00113777">
        <w:rPr>
          <w:rFonts w:ascii="Arial" w:hAnsi="Arial" w:cs="Arial"/>
        </w:rPr>
        <w:t>emphasizes the need for</w:t>
      </w:r>
      <w:r w:rsidR="00AC46EF" w:rsidRPr="00113777">
        <w:rPr>
          <w:rFonts w:ascii="Arial" w:hAnsi="Arial" w:cs="Arial"/>
        </w:rPr>
        <w:t xml:space="preserve"> organizational change and</w:t>
      </w:r>
      <w:r w:rsidRPr="00113777">
        <w:rPr>
          <w:rFonts w:ascii="Arial" w:hAnsi="Arial" w:cs="Arial"/>
        </w:rPr>
        <w:t xml:space="preserve"> policy that “will impose and embed new proactive ‘positive human rights duties’ on system leaders and staff, so that the burden of upholding rights and maintaining discrimination</w:t>
      </w:r>
      <w:r w:rsidR="000F6403" w:rsidRPr="00113777">
        <w:rPr>
          <w:rFonts w:ascii="Arial" w:hAnsi="Arial" w:cs="Arial"/>
        </w:rPr>
        <w:t>-</w:t>
      </w:r>
      <w:r w:rsidRPr="00113777">
        <w:rPr>
          <w:rFonts w:ascii="Arial" w:hAnsi="Arial" w:cs="Arial"/>
        </w:rPr>
        <w:t xml:space="preserve">free workplaces is placed more upfront </w:t>
      </w:r>
      <w:r w:rsidR="000F6403" w:rsidRPr="00113777">
        <w:rPr>
          <w:rFonts w:ascii="Arial" w:hAnsi="Arial" w:cs="Arial"/>
        </w:rPr>
        <w:t xml:space="preserve">and </w:t>
      </w:r>
      <w:r w:rsidRPr="00113777">
        <w:rPr>
          <w:rFonts w:ascii="Arial" w:hAnsi="Arial" w:cs="Arial"/>
        </w:rPr>
        <w:t xml:space="preserve">on the shoulders of ‘directing minds’ and </w:t>
      </w:r>
      <w:r w:rsidRPr="00113777">
        <w:rPr>
          <w:rFonts w:ascii="Arial" w:hAnsi="Arial" w:cs="Arial"/>
        </w:rPr>
        <w:lastRenderedPageBreak/>
        <w:t>those with power, rather than on the victims of discrimination ‘after the fact’ (the current complaint driven and focused model)</w:t>
      </w:r>
      <w:r w:rsidR="00090D9F" w:rsidRPr="00113777">
        <w:rPr>
          <w:rFonts w:ascii="Arial" w:hAnsi="Arial" w:cs="Arial"/>
        </w:rPr>
        <w:t>.</w:t>
      </w:r>
      <w:r w:rsidRPr="00113777">
        <w:rPr>
          <w:rFonts w:ascii="Arial" w:hAnsi="Arial" w:cs="Arial"/>
        </w:rPr>
        <w:t>” It identifies “the ongoing modernization of data collection, monitoring and reporting tools” as “particularly essential precondition to a much more strategic, proactive and systemic approach to human rights enforcement</w:t>
      </w:r>
      <w:r w:rsidR="00090D9F" w:rsidRPr="00113777">
        <w:rPr>
          <w:rFonts w:ascii="Arial" w:hAnsi="Arial" w:cs="Arial"/>
        </w:rPr>
        <w:t>.</w:t>
      </w:r>
      <w:r w:rsidRPr="00113777">
        <w:rPr>
          <w:rFonts w:ascii="Arial" w:hAnsi="Arial" w:cs="Arial"/>
        </w:rPr>
        <w:t>”  The report expresses hope that “the days of leaving human rights issues to boil over and fester (as “not our core business”) only to pass on to the Human Rights Office to come in and clean up at the last hour (at the most difficult</w:t>
      </w:r>
      <w:r w:rsidR="000F6403" w:rsidRPr="00113777">
        <w:rPr>
          <w:rFonts w:ascii="Arial" w:hAnsi="Arial" w:cs="Arial"/>
        </w:rPr>
        <w:t>-</w:t>
      </w:r>
      <w:r w:rsidRPr="00113777">
        <w:rPr>
          <w:rFonts w:ascii="Arial" w:hAnsi="Arial" w:cs="Arial"/>
        </w:rPr>
        <w:t>to</w:t>
      </w:r>
      <w:r w:rsidR="000F6403" w:rsidRPr="00113777">
        <w:rPr>
          <w:rFonts w:ascii="Arial" w:hAnsi="Arial" w:cs="Arial"/>
        </w:rPr>
        <w:t>–</w:t>
      </w:r>
      <w:r w:rsidRPr="00113777">
        <w:rPr>
          <w:rFonts w:ascii="Arial" w:hAnsi="Arial" w:cs="Arial"/>
        </w:rPr>
        <w:t>resolve</w:t>
      </w:r>
      <w:r w:rsidR="000F6403" w:rsidRPr="00113777">
        <w:rPr>
          <w:rFonts w:ascii="Arial" w:hAnsi="Arial" w:cs="Arial"/>
        </w:rPr>
        <w:t>,</w:t>
      </w:r>
      <w:r w:rsidRPr="00113777">
        <w:rPr>
          <w:rFonts w:ascii="Arial" w:hAnsi="Arial" w:cs="Arial"/>
        </w:rPr>
        <w:t xml:space="preserve"> endemic stage of conflict years in the </w:t>
      </w:r>
      <w:proofErr w:type="gramStart"/>
      <w:r w:rsidRPr="00113777">
        <w:rPr>
          <w:rFonts w:ascii="Arial" w:hAnsi="Arial" w:cs="Arial"/>
        </w:rPr>
        <w:t>making)…</w:t>
      </w:r>
      <w:proofErr w:type="gramEnd"/>
      <w:r w:rsidRPr="00113777">
        <w:rPr>
          <w:rFonts w:ascii="Arial" w:hAnsi="Arial" w:cs="Arial"/>
        </w:rPr>
        <w:t xml:space="preserve">will be numbered.”  </w:t>
      </w:r>
    </w:p>
    <w:p w14:paraId="172FE3A6" w14:textId="55AC4855" w:rsidR="009F2B52" w:rsidRPr="00113777" w:rsidRDefault="00962A48" w:rsidP="00F517E4">
      <w:pPr>
        <w:spacing w:line="480" w:lineRule="auto"/>
        <w:rPr>
          <w:rFonts w:ascii="Arial" w:hAnsi="Arial" w:cs="Arial"/>
        </w:rPr>
      </w:pPr>
      <w:r w:rsidRPr="00113777">
        <w:rPr>
          <w:rFonts w:ascii="Arial" w:hAnsi="Arial" w:cs="Arial"/>
        </w:rPr>
        <w:t xml:space="preserve">It is often at the stage where human rights issues have “boiled over” </w:t>
      </w:r>
      <w:r w:rsidR="00D00A1B" w:rsidRPr="00113777">
        <w:rPr>
          <w:rFonts w:ascii="Arial" w:hAnsi="Arial" w:cs="Arial"/>
        </w:rPr>
        <w:t xml:space="preserve">and </w:t>
      </w:r>
      <w:r w:rsidR="008C606A" w:rsidRPr="00113777">
        <w:rPr>
          <w:rFonts w:ascii="Arial" w:hAnsi="Arial" w:cs="Arial"/>
        </w:rPr>
        <w:t>educators</w:t>
      </w:r>
      <w:r w:rsidR="00D00A1B" w:rsidRPr="00113777">
        <w:rPr>
          <w:rFonts w:ascii="Arial" w:hAnsi="Arial" w:cs="Arial"/>
        </w:rPr>
        <w:t xml:space="preserve"> have been adversely impacted by the failure to protect and respect their human rights that</w:t>
      </w:r>
      <w:r w:rsidR="008C606A" w:rsidRPr="00113777">
        <w:rPr>
          <w:rFonts w:ascii="Arial" w:hAnsi="Arial" w:cs="Arial"/>
        </w:rPr>
        <w:t xml:space="preserve"> they</w:t>
      </w:r>
      <w:r w:rsidR="00D00A1B" w:rsidRPr="00113777">
        <w:rPr>
          <w:rFonts w:ascii="Arial" w:hAnsi="Arial" w:cs="Arial"/>
        </w:rPr>
        <w:t xml:space="preserve"> approach ETFO for support</w:t>
      </w:r>
      <w:r w:rsidR="00242463" w:rsidRPr="00113777">
        <w:rPr>
          <w:rFonts w:ascii="Arial" w:hAnsi="Arial" w:cs="Arial"/>
        </w:rPr>
        <w:t>.</w:t>
      </w:r>
      <w:r w:rsidR="000D1A4E" w:rsidRPr="00113777">
        <w:rPr>
          <w:rFonts w:ascii="Arial" w:hAnsi="Arial" w:cs="Arial"/>
        </w:rPr>
        <w:t xml:space="preserve"> So many of these situations</w:t>
      </w:r>
      <w:r w:rsidR="00E85E25" w:rsidRPr="00113777">
        <w:rPr>
          <w:rFonts w:ascii="Arial" w:hAnsi="Arial" w:cs="Arial"/>
        </w:rPr>
        <w:t>,</w:t>
      </w:r>
      <w:r w:rsidR="000D1A4E" w:rsidRPr="00113777">
        <w:rPr>
          <w:rFonts w:ascii="Arial" w:hAnsi="Arial" w:cs="Arial"/>
        </w:rPr>
        <w:t xml:space="preserve"> and the harm done to</w:t>
      </w:r>
      <w:r w:rsidR="00E85E25" w:rsidRPr="00113777">
        <w:rPr>
          <w:rFonts w:ascii="Arial" w:hAnsi="Arial" w:cs="Arial"/>
        </w:rPr>
        <w:t xml:space="preserve"> ETFO</w:t>
      </w:r>
      <w:r w:rsidR="000D1A4E" w:rsidRPr="00113777">
        <w:rPr>
          <w:rFonts w:ascii="Arial" w:hAnsi="Arial" w:cs="Arial"/>
        </w:rPr>
        <w:t xml:space="preserve"> members</w:t>
      </w:r>
      <w:r w:rsidR="00E85E25" w:rsidRPr="00113777">
        <w:rPr>
          <w:rFonts w:ascii="Arial" w:hAnsi="Arial" w:cs="Arial"/>
        </w:rPr>
        <w:t>,</w:t>
      </w:r>
      <w:r w:rsidR="000D1A4E" w:rsidRPr="00113777">
        <w:rPr>
          <w:rFonts w:ascii="Arial" w:hAnsi="Arial" w:cs="Arial"/>
        </w:rPr>
        <w:t xml:space="preserve"> could have been avoided by </w:t>
      </w:r>
      <w:r w:rsidR="00BB4CDD" w:rsidRPr="00113777">
        <w:rPr>
          <w:rFonts w:ascii="Arial" w:hAnsi="Arial" w:cs="Arial"/>
        </w:rPr>
        <w:t xml:space="preserve">placing positive duties on administrators and system leaders to identify and uphold human rights; </w:t>
      </w:r>
      <w:r w:rsidR="00EF295D" w:rsidRPr="00113777">
        <w:rPr>
          <w:rFonts w:ascii="Arial" w:hAnsi="Arial" w:cs="Arial"/>
        </w:rPr>
        <w:t xml:space="preserve">by </w:t>
      </w:r>
      <w:r w:rsidR="00BB4CDD" w:rsidRPr="00113777">
        <w:rPr>
          <w:rFonts w:ascii="Arial" w:hAnsi="Arial" w:cs="Arial"/>
        </w:rPr>
        <w:t xml:space="preserve">providing them with ongoing training; and </w:t>
      </w:r>
      <w:r w:rsidR="00EF295D" w:rsidRPr="00113777">
        <w:rPr>
          <w:rFonts w:ascii="Arial" w:hAnsi="Arial" w:cs="Arial"/>
        </w:rPr>
        <w:t xml:space="preserve">by </w:t>
      </w:r>
      <w:r w:rsidR="00BB4CDD" w:rsidRPr="00113777">
        <w:rPr>
          <w:rFonts w:ascii="Arial" w:hAnsi="Arial" w:cs="Arial"/>
        </w:rPr>
        <w:t>holding them accountable</w:t>
      </w:r>
      <w:r w:rsidR="008D50D9" w:rsidRPr="00113777">
        <w:rPr>
          <w:rFonts w:ascii="Arial" w:hAnsi="Arial" w:cs="Arial"/>
        </w:rPr>
        <w:t xml:space="preserve"> through </w:t>
      </w:r>
      <w:r w:rsidR="0022505B" w:rsidRPr="00113777">
        <w:rPr>
          <w:rFonts w:ascii="Arial" w:hAnsi="Arial" w:cs="Arial"/>
        </w:rPr>
        <w:t xml:space="preserve">data </w:t>
      </w:r>
      <w:r w:rsidR="008D50D9" w:rsidRPr="00113777">
        <w:rPr>
          <w:rFonts w:ascii="Arial" w:hAnsi="Arial" w:cs="Arial"/>
        </w:rPr>
        <w:t xml:space="preserve">reporting and promotion/performance evaluation processes. </w:t>
      </w:r>
    </w:p>
    <w:p w14:paraId="233D1A25" w14:textId="059A6847" w:rsidR="00B23997" w:rsidRPr="00113777" w:rsidRDefault="00715E8B" w:rsidP="00F517E4">
      <w:pPr>
        <w:spacing w:line="480" w:lineRule="auto"/>
        <w:rPr>
          <w:rFonts w:ascii="Arial" w:hAnsi="Arial" w:cs="Arial"/>
        </w:rPr>
      </w:pPr>
      <w:r w:rsidRPr="00113777">
        <w:rPr>
          <w:rFonts w:ascii="Arial" w:hAnsi="Arial" w:cs="Arial"/>
        </w:rPr>
        <w:t xml:space="preserve">Individuals occupying positions of authority, like principals and vice-principals, consultants, coordinators, and other system leaders, should demonstrate knowledge of, commitment to, and successful experience in addressing </w:t>
      </w:r>
      <w:r w:rsidR="00471C95" w:rsidRPr="00113777">
        <w:rPr>
          <w:rFonts w:ascii="Arial" w:hAnsi="Arial" w:cs="Arial"/>
        </w:rPr>
        <w:t>equity-based issues and upholding human rights.</w:t>
      </w:r>
      <w:r w:rsidR="00A27B98" w:rsidRPr="00113777">
        <w:rPr>
          <w:rFonts w:ascii="Arial" w:hAnsi="Arial" w:cs="Arial"/>
        </w:rPr>
        <w:t xml:space="preserve"> Experience in anti-racism</w:t>
      </w:r>
      <w:r w:rsidR="009D564A" w:rsidRPr="00113777">
        <w:rPr>
          <w:rFonts w:ascii="Arial" w:hAnsi="Arial" w:cs="Arial"/>
        </w:rPr>
        <w:t xml:space="preserve">, anti-oppression and </w:t>
      </w:r>
      <w:r w:rsidR="00090D9F" w:rsidRPr="00113777">
        <w:rPr>
          <w:rFonts w:ascii="Arial" w:hAnsi="Arial" w:cs="Arial"/>
        </w:rPr>
        <w:t>cultural-</w:t>
      </w:r>
      <w:r w:rsidR="009D564A" w:rsidRPr="00113777">
        <w:rPr>
          <w:rFonts w:ascii="Arial" w:hAnsi="Arial" w:cs="Arial"/>
        </w:rPr>
        <w:t xml:space="preserve">safety approaches and in </w:t>
      </w:r>
      <w:r w:rsidR="005C567D" w:rsidRPr="00113777">
        <w:rPr>
          <w:rFonts w:ascii="Arial" w:hAnsi="Arial" w:cs="Arial"/>
        </w:rPr>
        <w:t>understanding the systemic issues facing racialized members and members with disabilities</w:t>
      </w:r>
      <w:proofErr w:type="gramStart"/>
      <w:r w:rsidR="001D19B9" w:rsidRPr="00113777">
        <w:rPr>
          <w:rFonts w:ascii="Arial" w:hAnsi="Arial" w:cs="Arial"/>
        </w:rPr>
        <w:t>, in particular,</w:t>
      </w:r>
      <w:r w:rsidR="005C567D" w:rsidRPr="00113777">
        <w:rPr>
          <w:rFonts w:ascii="Arial" w:hAnsi="Arial" w:cs="Arial"/>
        </w:rPr>
        <w:t xml:space="preserve"> is</w:t>
      </w:r>
      <w:proofErr w:type="gramEnd"/>
      <w:r w:rsidR="005C567D" w:rsidRPr="00113777">
        <w:rPr>
          <w:rFonts w:ascii="Arial" w:hAnsi="Arial" w:cs="Arial"/>
        </w:rPr>
        <w:t xml:space="preserve"> also important as the majority of complaints experienced by ETFO members are based on grounds of race and disability.</w:t>
      </w:r>
      <w:r w:rsidRPr="00113777">
        <w:rPr>
          <w:rFonts w:ascii="Arial" w:hAnsi="Arial" w:cs="Arial"/>
        </w:rPr>
        <w:t xml:space="preserve"> </w:t>
      </w:r>
      <w:r w:rsidR="0049627A" w:rsidRPr="00113777">
        <w:rPr>
          <w:rFonts w:ascii="Arial" w:hAnsi="Arial" w:cs="Arial"/>
        </w:rPr>
        <w:t>Knowledge of board policies and procedures</w:t>
      </w:r>
      <w:r w:rsidR="00B11322" w:rsidRPr="00113777">
        <w:rPr>
          <w:rFonts w:ascii="Arial" w:hAnsi="Arial" w:cs="Arial"/>
        </w:rPr>
        <w:t>, as well as human rights legislation,</w:t>
      </w:r>
      <w:r w:rsidR="00A27B98" w:rsidRPr="00113777">
        <w:rPr>
          <w:rFonts w:ascii="Arial" w:hAnsi="Arial" w:cs="Arial"/>
        </w:rPr>
        <w:t xml:space="preserve"> should be a requirement</w:t>
      </w:r>
      <w:r w:rsidR="00B11322" w:rsidRPr="00113777">
        <w:rPr>
          <w:rFonts w:ascii="Arial" w:hAnsi="Arial" w:cs="Arial"/>
        </w:rPr>
        <w:t xml:space="preserve"> at all levels of school board leadership</w:t>
      </w:r>
      <w:r w:rsidR="004E13FC" w:rsidRPr="00113777">
        <w:rPr>
          <w:rFonts w:ascii="Arial" w:hAnsi="Arial" w:cs="Arial"/>
        </w:rPr>
        <w:t>.</w:t>
      </w:r>
      <w:r w:rsidR="00DA2411" w:rsidRPr="00113777">
        <w:rPr>
          <w:rFonts w:ascii="Arial" w:hAnsi="Arial" w:cs="Arial"/>
        </w:rPr>
        <w:t xml:space="preserve"> </w:t>
      </w:r>
    </w:p>
    <w:p w14:paraId="7A20B1D0" w14:textId="6310F6E6" w:rsidR="007C67EC" w:rsidRPr="00113777" w:rsidRDefault="00DA2411" w:rsidP="007C67EC">
      <w:pPr>
        <w:spacing w:line="480" w:lineRule="auto"/>
        <w:rPr>
          <w:rFonts w:ascii="Arial" w:hAnsi="Arial" w:cs="Arial"/>
        </w:rPr>
      </w:pPr>
      <w:r w:rsidRPr="00113777">
        <w:rPr>
          <w:rFonts w:ascii="Arial" w:hAnsi="Arial" w:cs="Arial"/>
        </w:rPr>
        <w:t>When</w:t>
      </w:r>
      <w:r w:rsidR="00635A44" w:rsidRPr="00113777">
        <w:rPr>
          <w:rFonts w:ascii="Arial" w:hAnsi="Arial" w:cs="Arial"/>
        </w:rPr>
        <w:t xml:space="preserve"> human rights </w:t>
      </w:r>
      <w:r w:rsidRPr="00113777">
        <w:rPr>
          <w:rFonts w:ascii="Arial" w:hAnsi="Arial" w:cs="Arial"/>
        </w:rPr>
        <w:t xml:space="preserve">situations arise that </w:t>
      </w:r>
      <w:r w:rsidR="00635A44" w:rsidRPr="00113777">
        <w:rPr>
          <w:rFonts w:ascii="Arial" w:hAnsi="Arial" w:cs="Arial"/>
        </w:rPr>
        <w:t>may be new or challenging (e.g.</w:t>
      </w:r>
      <w:r w:rsidR="00B3082F" w:rsidRPr="00113777">
        <w:rPr>
          <w:rFonts w:ascii="Arial" w:hAnsi="Arial" w:cs="Arial"/>
        </w:rPr>
        <w:t>,</w:t>
      </w:r>
      <w:r w:rsidR="00635A44" w:rsidRPr="00113777">
        <w:rPr>
          <w:rFonts w:ascii="Arial" w:hAnsi="Arial" w:cs="Arial"/>
        </w:rPr>
        <w:t xml:space="preserve"> competing rights), </w:t>
      </w:r>
      <w:r w:rsidR="00C31958" w:rsidRPr="00113777">
        <w:rPr>
          <w:rFonts w:ascii="Arial" w:hAnsi="Arial" w:cs="Arial"/>
        </w:rPr>
        <w:t xml:space="preserve">administrators and system leaders </w:t>
      </w:r>
      <w:r w:rsidR="003D173A" w:rsidRPr="00113777">
        <w:rPr>
          <w:rFonts w:ascii="Arial" w:hAnsi="Arial" w:cs="Arial"/>
        </w:rPr>
        <w:t xml:space="preserve">should be encouraged to consult promptly with appropriate </w:t>
      </w:r>
      <w:r w:rsidR="0091288F" w:rsidRPr="00113777">
        <w:rPr>
          <w:rFonts w:ascii="Arial" w:hAnsi="Arial" w:cs="Arial"/>
        </w:rPr>
        <w:lastRenderedPageBreak/>
        <w:t xml:space="preserve">board </w:t>
      </w:r>
      <w:r w:rsidR="003D173A" w:rsidRPr="00113777">
        <w:rPr>
          <w:rFonts w:ascii="Arial" w:hAnsi="Arial" w:cs="Arial"/>
        </w:rPr>
        <w:t>human rights specialists</w:t>
      </w:r>
      <w:r w:rsidR="0091288F" w:rsidRPr="00113777">
        <w:rPr>
          <w:rFonts w:ascii="Arial" w:hAnsi="Arial" w:cs="Arial"/>
        </w:rPr>
        <w:t xml:space="preserve">, and to refer staff to their unions. </w:t>
      </w:r>
      <w:r w:rsidR="007C67EC" w:rsidRPr="00113777">
        <w:rPr>
          <w:rFonts w:ascii="Arial" w:hAnsi="Arial" w:cs="Arial"/>
        </w:rPr>
        <w:t>If</w:t>
      </w:r>
      <w:r w:rsidR="00C212DD" w:rsidRPr="00113777">
        <w:rPr>
          <w:rFonts w:ascii="Arial" w:hAnsi="Arial" w:cs="Arial"/>
        </w:rPr>
        <w:t xml:space="preserve"> human rights</w:t>
      </w:r>
      <w:r w:rsidR="007C67EC" w:rsidRPr="00113777">
        <w:rPr>
          <w:rFonts w:ascii="Arial" w:hAnsi="Arial" w:cs="Arial"/>
        </w:rPr>
        <w:t xml:space="preserve"> issues are dealt with before they fester and boil over, complaints should be rare.</w:t>
      </w:r>
    </w:p>
    <w:p w14:paraId="5352777D" w14:textId="3F58232A" w:rsidR="00F4035B" w:rsidRPr="00113777" w:rsidRDefault="008C606A" w:rsidP="00F4035B">
      <w:pPr>
        <w:spacing w:line="480" w:lineRule="auto"/>
        <w:rPr>
          <w:rFonts w:ascii="Arial" w:hAnsi="Arial" w:cs="Arial"/>
        </w:rPr>
      </w:pPr>
      <w:r w:rsidRPr="00113777">
        <w:rPr>
          <w:rFonts w:ascii="Arial" w:hAnsi="Arial" w:cs="Arial"/>
        </w:rPr>
        <w:t xml:space="preserve">Teachers and education workers </w:t>
      </w:r>
      <w:r w:rsidR="00F4035B" w:rsidRPr="00113777">
        <w:rPr>
          <w:rFonts w:ascii="Arial" w:hAnsi="Arial" w:cs="Arial"/>
        </w:rPr>
        <w:t>who do make complaints</w:t>
      </w:r>
      <w:r w:rsidR="0003646E" w:rsidRPr="00113777">
        <w:rPr>
          <w:rFonts w:ascii="Arial" w:hAnsi="Arial" w:cs="Arial"/>
        </w:rPr>
        <w:t>,</w:t>
      </w:r>
      <w:r w:rsidR="00F4035B" w:rsidRPr="00113777">
        <w:rPr>
          <w:rFonts w:ascii="Arial" w:hAnsi="Arial" w:cs="Arial"/>
        </w:rPr>
        <w:t xml:space="preserve"> too often feel unsupported in the process and further marginalized and revictimized by procedural dysfunction. In ETFO’s experience, the dysfunction has less to do with the content of policies and </w:t>
      </w:r>
      <w:r w:rsidR="0003646E" w:rsidRPr="00113777">
        <w:rPr>
          <w:rFonts w:ascii="Arial" w:hAnsi="Arial" w:cs="Arial"/>
        </w:rPr>
        <w:t xml:space="preserve">more </w:t>
      </w:r>
      <w:r w:rsidR="00F4035B" w:rsidRPr="00113777">
        <w:rPr>
          <w:rFonts w:ascii="Arial" w:hAnsi="Arial" w:cs="Arial"/>
        </w:rPr>
        <w:t xml:space="preserve">to do with their implementation. The </w:t>
      </w:r>
      <w:r w:rsidR="00186423" w:rsidRPr="00113777">
        <w:rPr>
          <w:rFonts w:ascii="Arial" w:hAnsi="Arial" w:cs="Arial"/>
        </w:rPr>
        <w:t>M</w:t>
      </w:r>
      <w:r w:rsidR="00F4035B" w:rsidRPr="00113777">
        <w:rPr>
          <w:rFonts w:ascii="Arial" w:hAnsi="Arial" w:cs="Arial"/>
        </w:rPr>
        <w:t>inistry has asked what makes for an effective complaint procedure</w:t>
      </w:r>
      <w:r w:rsidR="00186423" w:rsidRPr="00113777">
        <w:rPr>
          <w:rFonts w:ascii="Arial" w:hAnsi="Arial" w:cs="Arial"/>
        </w:rPr>
        <w:t xml:space="preserve">. </w:t>
      </w:r>
      <w:r w:rsidR="000F6403" w:rsidRPr="00113777">
        <w:rPr>
          <w:rFonts w:ascii="Arial" w:hAnsi="Arial" w:cs="Arial"/>
        </w:rPr>
        <w:t xml:space="preserve">ETFO’s </w:t>
      </w:r>
      <w:r w:rsidR="00186423" w:rsidRPr="00113777">
        <w:rPr>
          <w:rFonts w:ascii="Arial" w:hAnsi="Arial" w:cs="Arial"/>
        </w:rPr>
        <w:t>view is that an effective complaint procedure</w:t>
      </w:r>
      <w:r w:rsidR="00F4035B" w:rsidRPr="00113777">
        <w:rPr>
          <w:rFonts w:ascii="Arial" w:hAnsi="Arial" w:cs="Arial"/>
        </w:rPr>
        <w:t xml:space="preserve"> is one that provides for</w:t>
      </w:r>
      <w:r w:rsidR="00D16008" w:rsidRPr="00113777">
        <w:rPr>
          <w:rFonts w:ascii="Arial" w:hAnsi="Arial" w:cs="Arial"/>
        </w:rPr>
        <w:t xml:space="preserve"> </w:t>
      </w:r>
      <w:r w:rsidR="00D01321" w:rsidRPr="00113777">
        <w:rPr>
          <w:rFonts w:ascii="Arial" w:hAnsi="Arial" w:cs="Arial"/>
        </w:rPr>
        <w:t>a</w:t>
      </w:r>
      <w:r w:rsidR="00F4035B" w:rsidRPr="00113777">
        <w:rPr>
          <w:rFonts w:ascii="Arial" w:hAnsi="Arial" w:cs="Arial"/>
        </w:rPr>
        <w:t xml:space="preserve"> fair</w:t>
      </w:r>
      <w:r w:rsidR="00D16008" w:rsidRPr="00113777">
        <w:rPr>
          <w:rFonts w:ascii="Arial" w:hAnsi="Arial" w:cs="Arial"/>
        </w:rPr>
        <w:t xml:space="preserve">, </w:t>
      </w:r>
      <w:r w:rsidR="00B11322" w:rsidRPr="00113777">
        <w:rPr>
          <w:rFonts w:ascii="Arial" w:hAnsi="Arial" w:cs="Arial"/>
        </w:rPr>
        <w:t>respectful</w:t>
      </w:r>
      <w:r w:rsidR="00F4035B" w:rsidRPr="00113777">
        <w:rPr>
          <w:rFonts w:ascii="Arial" w:hAnsi="Arial" w:cs="Arial"/>
        </w:rPr>
        <w:t xml:space="preserve"> and timely </w:t>
      </w:r>
      <w:r w:rsidR="00D01321" w:rsidRPr="00113777">
        <w:rPr>
          <w:rFonts w:ascii="Arial" w:hAnsi="Arial" w:cs="Arial"/>
        </w:rPr>
        <w:t xml:space="preserve">investigation </w:t>
      </w:r>
      <w:r w:rsidR="00F4035B" w:rsidRPr="00113777">
        <w:rPr>
          <w:rFonts w:ascii="Arial" w:hAnsi="Arial" w:cs="Arial"/>
        </w:rPr>
        <w:t>and resolution of complaints.</w:t>
      </w:r>
      <w:r w:rsidR="00D979F0" w:rsidRPr="00113777">
        <w:rPr>
          <w:rFonts w:ascii="Arial" w:hAnsi="Arial" w:cs="Arial"/>
        </w:rPr>
        <w:t xml:space="preserve"> Many school board complaint procedures satisfy these criteria on paper. However, a complaint procedure is only effective if it is followed.</w:t>
      </w:r>
      <w:r w:rsidR="00290731" w:rsidRPr="00113777">
        <w:rPr>
          <w:rFonts w:ascii="Arial" w:hAnsi="Arial" w:cs="Arial"/>
        </w:rPr>
        <w:t xml:space="preserve"> Too often they are not. </w:t>
      </w:r>
    </w:p>
    <w:p w14:paraId="02E4DDD8" w14:textId="77777777" w:rsidR="00E063AD" w:rsidRPr="00113777" w:rsidRDefault="001E786F" w:rsidP="00E063AD">
      <w:pPr>
        <w:spacing w:line="480" w:lineRule="auto"/>
        <w:rPr>
          <w:rFonts w:ascii="Arial" w:hAnsi="Arial" w:cs="Arial"/>
        </w:rPr>
      </w:pPr>
      <w:r w:rsidRPr="00113777">
        <w:rPr>
          <w:rFonts w:ascii="Arial" w:hAnsi="Arial" w:cs="Arial"/>
        </w:rPr>
        <w:t>C</w:t>
      </w:r>
      <w:r w:rsidR="00934C71" w:rsidRPr="00113777">
        <w:rPr>
          <w:rFonts w:ascii="Arial" w:hAnsi="Arial" w:cs="Arial"/>
        </w:rPr>
        <w:t xml:space="preserve">omplaint policies and procedures could </w:t>
      </w:r>
      <w:r w:rsidR="00F175E2" w:rsidRPr="00113777">
        <w:rPr>
          <w:rFonts w:ascii="Arial" w:hAnsi="Arial" w:cs="Arial"/>
        </w:rPr>
        <w:t xml:space="preserve">be improved </w:t>
      </w:r>
      <w:r w:rsidRPr="00113777">
        <w:rPr>
          <w:rFonts w:ascii="Arial" w:hAnsi="Arial" w:cs="Arial"/>
        </w:rPr>
        <w:t>by</w:t>
      </w:r>
      <w:r w:rsidR="009A36EB" w:rsidRPr="00113777">
        <w:rPr>
          <w:rFonts w:ascii="Arial" w:hAnsi="Arial" w:cs="Arial"/>
        </w:rPr>
        <w:t xml:space="preserve"> </w:t>
      </w:r>
      <w:r w:rsidR="00CB10E0" w:rsidRPr="00113777">
        <w:rPr>
          <w:rFonts w:ascii="Arial" w:hAnsi="Arial" w:cs="Arial"/>
        </w:rPr>
        <w:t>including measures to better manage expectations, improve communication and transparency, and promote and enforce accountability. For example</w:t>
      </w:r>
      <w:r w:rsidR="00213A0F" w:rsidRPr="00113777">
        <w:rPr>
          <w:rFonts w:ascii="Arial" w:hAnsi="Arial" w:cs="Arial"/>
        </w:rPr>
        <w:t>,</w:t>
      </w:r>
      <w:r w:rsidR="00CB10E0" w:rsidRPr="00113777">
        <w:rPr>
          <w:rFonts w:ascii="Arial" w:hAnsi="Arial" w:cs="Arial"/>
        </w:rPr>
        <w:t xml:space="preserve"> complaint policies and procedures should: </w:t>
      </w:r>
    </w:p>
    <w:p w14:paraId="211F5ACC" w14:textId="55AF3A82" w:rsidR="00EA7E58" w:rsidRPr="00113777" w:rsidRDefault="001D718D" w:rsidP="00A33FF7">
      <w:pPr>
        <w:pStyle w:val="ListParagraph"/>
        <w:numPr>
          <w:ilvl w:val="0"/>
          <w:numId w:val="4"/>
        </w:numPr>
        <w:spacing w:line="480" w:lineRule="auto"/>
        <w:rPr>
          <w:rFonts w:ascii="Arial" w:hAnsi="Arial" w:cs="Arial"/>
        </w:rPr>
      </w:pPr>
      <w:r w:rsidRPr="00113777">
        <w:rPr>
          <w:rFonts w:ascii="Arial" w:hAnsi="Arial" w:cs="Arial"/>
        </w:rPr>
        <w:t>Clearly outlin</w:t>
      </w:r>
      <w:r w:rsidR="00B81563" w:rsidRPr="00113777">
        <w:rPr>
          <w:rFonts w:ascii="Arial" w:hAnsi="Arial" w:cs="Arial"/>
        </w:rPr>
        <w:t>e</w:t>
      </w:r>
      <w:r w:rsidRPr="00113777">
        <w:rPr>
          <w:rFonts w:ascii="Arial" w:hAnsi="Arial" w:cs="Arial"/>
        </w:rPr>
        <w:t xml:space="preserve"> the scope of remedies availab</w:t>
      </w:r>
      <w:r w:rsidR="008F6E24" w:rsidRPr="00113777">
        <w:rPr>
          <w:rFonts w:ascii="Arial" w:hAnsi="Arial" w:cs="Arial"/>
        </w:rPr>
        <w:t>le through the process</w:t>
      </w:r>
      <w:r w:rsidR="008B18F7" w:rsidRPr="00113777">
        <w:rPr>
          <w:rFonts w:ascii="Arial" w:hAnsi="Arial" w:cs="Arial"/>
        </w:rPr>
        <w:t>, including what consequences and accountability measures may result from a determination that an individual engaged in discrimination</w:t>
      </w:r>
      <w:r w:rsidR="000D1346" w:rsidRPr="00113777">
        <w:rPr>
          <w:rFonts w:ascii="Arial" w:hAnsi="Arial" w:cs="Arial"/>
        </w:rPr>
        <w:t xml:space="preserve"> and what information complainants will be provided about the measures taken by the school boards at the conclusion of an </w:t>
      </w:r>
      <w:proofErr w:type="gramStart"/>
      <w:r w:rsidR="000D1346" w:rsidRPr="00113777">
        <w:rPr>
          <w:rFonts w:ascii="Arial" w:hAnsi="Arial" w:cs="Arial"/>
        </w:rPr>
        <w:t>investigation</w:t>
      </w:r>
      <w:r w:rsidR="000F6403" w:rsidRPr="00113777">
        <w:rPr>
          <w:rFonts w:ascii="Arial" w:hAnsi="Arial" w:cs="Arial"/>
        </w:rPr>
        <w:t>;</w:t>
      </w:r>
      <w:proofErr w:type="gramEnd"/>
      <w:r w:rsidR="000D1346" w:rsidRPr="00113777">
        <w:rPr>
          <w:rFonts w:ascii="Arial" w:hAnsi="Arial" w:cs="Arial"/>
        </w:rPr>
        <w:t xml:space="preserve">  </w:t>
      </w:r>
    </w:p>
    <w:p w14:paraId="4AEB07D9" w14:textId="77777777" w:rsidR="005304AA" w:rsidRPr="00113777" w:rsidRDefault="005304AA" w:rsidP="00A33FF7">
      <w:pPr>
        <w:pStyle w:val="ListParagraph"/>
        <w:numPr>
          <w:ilvl w:val="0"/>
          <w:numId w:val="4"/>
        </w:numPr>
        <w:spacing w:line="480" w:lineRule="auto"/>
        <w:rPr>
          <w:rFonts w:ascii="Arial" w:hAnsi="Arial" w:cs="Arial"/>
        </w:rPr>
      </w:pPr>
      <w:r w:rsidRPr="00113777">
        <w:rPr>
          <w:rFonts w:ascii="Arial" w:hAnsi="Arial" w:cs="Arial"/>
        </w:rPr>
        <w:t xml:space="preserve">Provide a realistic timeline for the processing of </w:t>
      </w:r>
      <w:proofErr w:type="gramStart"/>
      <w:r w:rsidRPr="00113777">
        <w:rPr>
          <w:rFonts w:ascii="Arial" w:hAnsi="Arial" w:cs="Arial"/>
        </w:rPr>
        <w:t>complaints;</w:t>
      </w:r>
      <w:proofErr w:type="gramEnd"/>
      <w:r w:rsidRPr="00113777">
        <w:rPr>
          <w:rFonts w:ascii="Arial" w:hAnsi="Arial" w:cs="Arial"/>
        </w:rPr>
        <w:t xml:space="preserve"> </w:t>
      </w:r>
    </w:p>
    <w:p w14:paraId="3598E21B" w14:textId="77777777" w:rsidR="005304AA" w:rsidRPr="00113777" w:rsidRDefault="005304AA" w:rsidP="00A33FF7">
      <w:pPr>
        <w:pStyle w:val="ListParagraph"/>
        <w:numPr>
          <w:ilvl w:val="0"/>
          <w:numId w:val="4"/>
        </w:numPr>
        <w:spacing w:line="480" w:lineRule="auto"/>
        <w:rPr>
          <w:rFonts w:ascii="Arial" w:hAnsi="Arial" w:cs="Arial"/>
        </w:rPr>
      </w:pPr>
      <w:r w:rsidRPr="00113777">
        <w:rPr>
          <w:rFonts w:ascii="Arial" w:hAnsi="Arial" w:cs="Arial"/>
        </w:rPr>
        <w:t xml:space="preserve">Include reprisal prohibitions that are specific and </w:t>
      </w:r>
      <w:r w:rsidR="00B81563" w:rsidRPr="00113777">
        <w:rPr>
          <w:rFonts w:ascii="Arial" w:hAnsi="Arial" w:cs="Arial"/>
        </w:rPr>
        <w:t>detail</w:t>
      </w:r>
      <w:r w:rsidRPr="00113777">
        <w:rPr>
          <w:rFonts w:ascii="Arial" w:hAnsi="Arial" w:cs="Arial"/>
        </w:rPr>
        <w:t xml:space="preserve"> how allegations of reprisal</w:t>
      </w:r>
      <w:r w:rsidR="00D6456D" w:rsidRPr="00113777">
        <w:rPr>
          <w:rFonts w:ascii="Arial" w:hAnsi="Arial" w:cs="Arial"/>
        </w:rPr>
        <w:t xml:space="preserve"> will be </w:t>
      </w:r>
      <w:proofErr w:type="gramStart"/>
      <w:r w:rsidR="00D6456D" w:rsidRPr="00113777">
        <w:rPr>
          <w:rFonts w:ascii="Arial" w:hAnsi="Arial" w:cs="Arial"/>
        </w:rPr>
        <w:t>investigated;</w:t>
      </w:r>
      <w:proofErr w:type="gramEnd"/>
      <w:r w:rsidR="00D6456D" w:rsidRPr="00113777">
        <w:rPr>
          <w:rFonts w:ascii="Arial" w:hAnsi="Arial" w:cs="Arial"/>
        </w:rPr>
        <w:t xml:space="preserve"> </w:t>
      </w:r>
    </w:p>
    <w:p w14:paraId="4526EA38" w14:textId="257CA0D4" w:rsidR="00A82CD3" w:rsidRPr="00113777" w:rsidRDefault="00D6456D" w:rsidP="00A33FF7">
      <w:pPr>
        <w:pStyle w:val="ListParagraph"/>
        <w:numPr>
          <w:ilvl w:val="0"/>
          <w:numId w:val="4"/>
        </w:numPr>
        <w:spacing w:line="480" w:lineRule="auto"/>
        <w:rPr>
          <w:rFonts w:ascii="Arial" w:hAnsi="Arial" w:cs="Arial"/>
        </w:rPr>
      </w:pPr>
      <w:r w:rsidRPr="00113777">
        <w:rPr>
          <w:rFonts w:ascii="Arial" w:hAnsi="Arial" w:cs="Arial"/>
        </w:rPr>
        <w:t xml:space="preserve">Describe </w:t>
      </w:r>
      <w:r w:rsidR="00777C94" w:rsidRPr="00113777">
        <w:rPr>
          <w:rFonts w:ascii="Arial" w:hAnsi="Arial" w:cs="Arial"/>
        </w:rPr>
        <w:t>the qualifications and training required for those charged with investigating complaints.</w:t>
      </w:r>
      <w:r w:rsidR="005A2741" w:rsidRPr="00113777">
        <w:rPr>
          <w:rFonts w:ascii="Arial" w:hAnsi="Arial" w:cs="Arial"/>
        </w:rPr>
        <w:t xml:space="preserve"> Seeing that an investigator receives ongoing </w:t>
      </w:r>
      <w:r w:rsidR="000811F3" w:rsidRPr="00113777">
        <w:rPr>
          <w:rFonts w:ascii="Arial" w:hAnsi="Arial" w:cs="Arial"/>
        </w:rPr>
        <w:t xml:space="preserve">professional development and </w:t>
      </w:r>
      <w:r w:rsidR="005A2741" w:rsidRPr="00113777">
        <w:rPr>
          <w:rFonts w:ascii="Arial" w:hAnsi="Arial" w:cs="Arial"/>
        </w:rPr>
        <w:lastRenderedPageBreak/>
        <w:t>training</w:t>
      </w:r>
      <w:r w:rsidR="000811F3" w:rsidRPr="00113777">
        <w:rPr>
          <w:rFonts w:ascii="Arial" w:hAnsi="Arial" w:cs="Arial"/>
        </w:rPr>
        <w:t xml:space="preserve"> </w:t>
      </w:r>
      <w:r w:rsidR="0097642F" w:rsidRPr="00113777">
        <w:rPr>
          <w:rFonts w:ascii="Arial" w:hAnsi="Arial" w:cs="Arial"/>
        </w:rPr>
        <w:t xml:space="preserve">in conducting investigations and human rights </w:t>
      </w:r>
      <w:r w:rsidR="000811F3" w:rsidRPr="00113777">
        <w:rPr>
          <w:rFonts w:ascii="Arial" w:hAnsi="Arial" w:cs="Arial"/>
        </w:rPr>
        <w:t>(e.g.</w:t>
      </w:r>
      <w:r w:rsidR="00B3082F" w:rsidRPr="00113777">
        <w:rPr>
          <w:rFonts w:ascii="Arial" w:hAnsi="Arial" w:cs="Arial"/>
        </w:rPr>
        <w:t>,</w:t>
      </w:r>
      <w:r w:rsidR="000811F3" w:rsidRPr="00113777">
        <w:rPr>
          <w:rFonts w:ascii="Arial" w:hAnsi="Arial" w:cs="Arial"/>
        </w:rPr>
        <w:t xml:space="preserve"> anti-racism, anti-oppression, and cultural safety) m</w:t>
      </w:r>
      <w:r w:rsidR="00A82CD3" w:rsidRPr="00113777">
        <w:rPr>
          <w:rFonts w:ascii="Arial" w:hAnsi="Arial" w:cs="Arial"/>
        </w:rPr>
        <w:t xml:space="preserve">ay enhance confidence in the </w:t>
      </w:r>
      <w:proofErr w:type="gramStart"/>
      <w:r w:rsidR="00A82CD3" w:rsidRPr="00113777">
        <w:rPr>
          <w:rFonts w:ascii="Arial" w:hAnsi="Arial" w:cs="Arial"/>
        </w:rPr>
        <w:t>process;</w:t>
      </w:r>
      <w:proofErr w:type="gramEnd"/>
      <w:r w:rsidR="00A82CD3" w:rsidRPr="00113777">
        <w:rPr>
          <w:rFonts w:ascii="Arial" w:hAnsi="Arial" w:cs="Arial"/>
        </w:rPr>
        <w:t xml:space="preserve"> </w:t>
      </w:r>
    </w:p>
    <w:p w14:paraId="00F439F8" w14:textId="1A307D94" w:rsidR="008D55B7" w:rsidRPr="00113777" w:rsidRDefault="007A279E" w:rsidP="00A33FF7">
      <w:pPr>
        <w:pStyle w:val="ListParagraph"/>
        <w:numPr>
          <w:ilvl w:val="0"/>
          <w:numId w:val="4"/>
        </w:numPr>
        <w:spacing w:line="480" w:lineRule="auto"/>
        <w:rPr>
          <w:rFonts w:ascii="Arial" w:hAnsi="Arial" w:cs="Arial"/>
        </w:rPr>
      </w:pPr>
      <w:r w:rsidRPr="00113777">
        <w:rPr>
          <w:rFonts w:ascii="Arial" w:hAnsi="Arial" w:cs="Arial"/>
        </w:rPr>
        <w:t>Be specific about impartiality</w:t>
      </w:r>
      <w:r w:rsidR="00E87B2D" w:rsidRPr="00113777">
        <w:rPr>
          <w:rFonts w:ascii="Arial" w:hAnsi="Arial" w:cs="Arial"/>
        </w:rPr>
        <w:t xml:space="preserve"> and bias-free </w:t>
      </w:r>
      <w:r w:rsidRPr="00113777">
        <w:rPr>
          <w:rFonts w:ascii="Arial" w:hAnsi="Arial" w:cs="Arial"/>
        </w:rPr>
        <w:t>investigations.</w:t>
      </w:r>
      <w:r w:rsidR="00916480" w:rsidRPr="00113777">
        <w:rPr>
          <w:rFonts w:ascii="Arial" w:hAnsi="Arial" w:cs="Arial"/>
        </w:rPr>
        <w:t xml:space="preserve"> </w:t>
      </w:r>
      <w:r w:rsidR="00EF12B6" w:rsidRPr="00113777">
        <w:rPr>
          <w:rFonts w:ascii="Arial" w:hAnsi="Arial" w:cs="Arial"/>
        </w:rPr>
        <w:t>Identify the positions/offices in the board that are charged with investigating complaints</w:t>
      </w:r>
      <w:r w:rsidR="005D2399" w:rsidRPr="00113777">
        <w:rPr>
          <w:rFonts w:ascii="Arial" w:hAnsi="Arial" w:cs="Arial"/>
        </w:rPr>
        <w:t xml:space="preserve"> and explain the mandate of these positions and how they fit into the overall structure of the board.</w:t>
      </w:r>
      <w:r w:rsidR="00FA69C2" w:rsidRPr="00113777">
        <w:rPr>
          <w:rFonts w:ascii="Arial" w:hAnsi="Arial" w:cs="Arial"/>
        </w:rPr>
        <w:t xml:space="preserve"> </w:t>
      </w:r>
      <w:r w:rsidR="00857FE2" w:rsidRPr="00113777">
        <w:rPr>
          <w:rFonts w:ascii="Arial" w:hAnsi="Arial" w:cs="Arial"/>
        </w:rPr>
        <w:t>Identify</w:t>
      </w:r>
      <w:r w:rsidR="00167D19" w:rsidRPr="00113777">
        <w:rPr>
          <w:rFonts w:ascii="Arial" w:hAnsi="Arial" w:cs="Arial"/>
        </w:rPr>
        <w:t xml:space="preserve"> </w:t>
      </w:r>
      <w:r w:rsidR="00E03F53" w:rsidRPr="00113777">
        <w:rPr>
          <w:rFonts w:ascii="Arial" w:hAnsi="Arial" w:cs="Arial"/>
        </w:rPr>
        <w:t>the circumstances where third-party investigators may be engaged</w:t>
      </w:r>
      <w:r w:rsidR="008D55B7" w:rsidRPr="00113777">
        <w:rPr>
          <w:rFonts w:ascii="Arial" w:hAnsi="Arial" w:cs="Arial"/>
        </w:rPr>
        <w:t xml:space="preserve">, such as in circumstances where the nature of the allegations necessitates an external </w:t>
      </w:r>
      <w:proofErr w:type="gramStart"/>
      <w:r w:rsidR="008D55B7" w:rsidRPr="00113777">
        <w:rPr>
          <w:rFonts w:ascii="Arial" w:hAnsi="Arial" w:cs="Arial"/>
        </w:rPr>
        <w:t>investigator</w:t>
      </w:r>
      <w:r w:rsidR="000F6403" w:rsidRPr="00113777">
        <w:rPr>
          <w:rFonts w:ascii="Arial" w:hAnsi="Arial" w:cs="Arial"/>
        </w:rPr>
        <w:t>;</w:t>
      </w:r>
      <w:proofErr w:type="gramEnd"/>
      <w:r w:rsidR="008D55B7" w:rsidRPr="00113777">
        <w:rPr>
          <w:rFonts w:ascii="Arial" w:hAnsi="Arial" w:cs="Arial"/>
        </w:rPr>
        <w:t xml:space="preserve"> </w:t>
      </w:r>
    </w:p>
    <w:p w14:paraId="3460877B" w14:textId="5093AD6F" w:rsidR="00F4035B" w:rsidRPr="00113777" w:rsidRDefault="001465C0" w:rsidP="00A33FF7">
      <w:pPr>
        <w:pStyle w:val="ListParagraph"/>
        <w:numPr>
          <w:ilvl w:val="0"/>
          <w:numId w:val="4"/>
        </w:numPr>
        <w:spacing w:line="480" w:lineRule="auto"/>
        <w:rPr>
          <w:rFonts w:ascii="Arial" w:hAnsi="Arial" w:cs="Arial"/>
        </w:rPr>
      </w:pPr>
      <w:r w:rsidRPr="00113777">
        <w:rPr>
          <w:rFonts w:ascii="Arial" w:hAnsi="Arial" w:cs="Arial"/>
        </w:rPr>
        <w:t>Require that regular updates</w:t>
      </w:r>
      <w:r w:rsidR="00683F83" w:rsidRPr="00113777">
        <w:rPr>
          <w:rFonts w:ascii="Arial" w:hAnsi="Arial" w:cs="Arial"/>
        </w:rPr>
        <w:t xml:space="preserve"> and check-ins be conducted with participants throughout the course of the investigation; </w:t>
      </w:r>
      <w:r w:rsidR="000F6403" w:rsidRPr="00113777">
        <w:rPr>
          <w:rFonts w:ascii="Arial" w:hAnsi="Arial" w:cs="Arial"/>
        </w:rPr>
        <w:t>and</w:t>
      </w:r>
    </w:p>
    <w:p w14:paraId="763A4FD9" w14:textId="45CAB012" w:rsidR="00F4035B" w:rsidRPr="00113777" w:rsidRDefault="008C606A" w:rsidP="00A33FF7">
      <w:pPr>
        <w:pStyle w:val="ListParagraph"/>
        <w:numPr>
          <w:ilvl w:val="0"/>
          <w:numId w:val="4"/>
        </w:numPr>
        <w:spacing w:line="480" w:lineRule="auto"/>
        <w:rPr>
          <w:rFonts w:ascii="Arial" w:hAnsi="Arial" w:cs="Arial"/>
        </w:rPr>
      </w:pPr>
      <w:r w:rsidRPr="00113777">
        <w:rPr>
          <w:rFonts w:ascii="Arial" w:hAnsi="Arial" w:cs="Arial"/>
        </w:rPr>
        <w:t>P</w:t>
      </w:r>
      <w:r w:rsidR="00112F3C" w:rsidRPr="00113777">
        <w:rPr>
          <w:rFonts w:ascii="Arial" w:hAnsi="Arial" w:cs="Arial"/>
        </w:rPr>
        <w:t xml:space="preserve">romote and enforce accountability, outline </w:t>
      </w:r>
      <w:r w:rsidR="00F87FF6" w:rsidRPr="00113777">
        <w:rPr>
          <w:rFonts w:ascii="Arial" w:hAnsi="Arial" w:cs="Arial"/>
        </w:rPr>
        <w:t>the</w:t>
      </w:r>
      <w:r w:rsidR="00112F3C" w:rsidRPr="00113777">
        <w:rPr>
          <w:rFonts w:ascii="Arial" w:hAnsi="Arial" w:cs="Arial"/>
        </w:rPr>
        <w:t xml:space="preserve"> measures and consequences </w:t>
      </w:r>
      <w:r w:rsidR="00BF0B9D" w:rsidRPr="00113777">
        <w:rPr>
          <w:rFonts w:ascii="Arial" w:hAnsi="Arial" w:cs="Arial"/>
        </w:rPr>
        <w:t>that may be taken when p</w:t>
      </w:r>
      <w:r w:rsidR="00112F3C" w:rsidRPr="00113777">
        <w:rPr>
          <w:rFonts w:ascii="Arial" w:hAnsi="Arial" w:cs="Arial"/>
        </w:rPr>
        <w:t xml:space="preserve">rocedures are not followed. </w:t>
      </w:r>
    </w:p>
    <w:p w14:paraId="36163F31" w14:textId="6D1BE916" w:rsidR="00F97508" w:rsidRPr="00113777" w:rsidRDefault="00BC312C" w:rsidP="00F4035B">
      <w:pPr>
        <w:spacing w:line="480" w:lineRule="auto"/>
        <w:rPr>
          <w:rFonts w:ascii="Arial" w:hAnsi="Arial" w:cs="Arial"/>
        </w:rPr>
      </w:pPr>
      <w:r w:rsidRPr="00113777">
        <w:rPr>
          <w:rFonts w:ascii="Arial" w:hAnsi="Arial" w:cs="Arial"/>
        </w:rPr>
        <w:t>Failing to adhere to timelines in complaint policies and procedures is a persistent problem.</w:t>
      </w:r>
      <w:r w:rsidR="0083636C" w:rsidRPr="00113777">
        <w:rPr>
          <w:rFonts w:ascii="Arial" w:hAnsi="Arial" w:cs="Arial"/>
        </w:rPr>
        <w:t xml:space="preserve"> Delays are incessant</w:t>
      </w:r>
      <w:r w:rsidR="005406FC" w:rsidRPr="00113777">
        <w:rPr>
          <w:rFonts w:ascii="Arial" w:hAnsi="Arial" w:cs="Arial"/>
        </w:rPr>
        <w:t>, particularly in complaints about race and disability.</w:t>
      </w:r>
      <w:r w:rsidR="00D360B0" w:rsidRPr="00113777">
        <w:rPr>
          <w:rFonts w:ascii="Arial" w:hAnsi="Arial" w:cs="Arial"/>
        </w:rPr>
        <w:t xml:space="preserve"> A complainant should not wait </w:t>
      </w:r>
      <w:r w:rsidR="00977F93" w:rsidRPr="00113777">
        <w:rPr>
          <w:rFonts w:ascii="Arial" w:hAnsi="Arial" w:cs="Arial"/>
        </w:rPr>
        <w:t xml:space="preserve">months or </w:t>
      </w:r>
      <w:r w:rsidR="00D360B0" w:rsidRPr="00113777">
        <w:rPr>
          <w:rFonts w:ascii="Arial" w:hAnsi="Arial" w:cs="Arial"/>
        </w:rPr>
        <w:t>years for their complaint to be</w:t>
      </w:r>
      <w:r w:rsidR="00772D59" w:rsidRPr="00113777">
        <w:rPr>
          <w:rFonts w:ascii="Arial" w:hAnsi="Arial" w:cs="Arial"/>
        </w:rPr>
        <w:t xml:space="preserve"> investigate</w:t>
      </w:r>
      <w:r w:rsidR="00F43F23" w:rsidRPr="00113777">
        <w:rPr>
          <w:rFonts w:ascii="Arial" w:hAnsi="Arial" w:cs="Arial"/>
        </w:rPr>
        <w:t>d. For example, it is not reasonable for a matter from December 2019 to remain unresolved in July 2021.</w:t>
      </w:r>
      <w:r w:rsidR="001336F4" w:rsidRPr="00113777">
        <w:rPr>
          <w:rFonts w:ascii="Arial" w:hAnsi="Arial" w:cs="Arial"/>
        </w:rPr>
        <w:t xml:space="preserve"> </w:t>
      </w:r>
      <w:r w:rsidR="00143439" w:rsidRPr="00113777">
        <w:rPr>
          <w:rFonts w:ascii="Arial" w:hAnsi="Arial" w:cs="Arial"/>
        </w:rPr>
        <w:t xml:space="preserve">According to the TDSB </w:t>
      </w:r>
      <w:r w:rsidR="000F6403" w:rsidRPr="00113777">
        <w:rPr>
          <w:rFonts w:ascii="Arial" w:hAnsi="Arial" w:cs="Arial"/>
          <w:i/>
          <w:iCs/>
        </w:rPr>
        <w:t>Human Rights Update: Annual Report 2018-2020</w:t>
      </w:r>
      <w:r w:rsidR="00143439" w:rsidRPr="00113777">
        <w:rPr>
          <w:rFonts w:ascii="Arial" w:hAnsi="Arial" w:cs="Arial"/>
        </w:rPr>
        <w:t xml:space="preserve">, </w:t>
      </w:r>
      <w:r w:rsidR="00BC167D" w:rsidRPr="00113777">
        <w:rPr>
          <w:rFonts w:ascii="Arial" w:hAnsi="Arial" w:cs="Arial"/>
        </w:rPr>
        <w:t>during the 2019-2020 school year there were 343 active cases in the Human Rights Office. 97</w:t>
      </w:r>
      <w:r w:rsidR="005A5F5D" w:rsidRPr="00113777">
        <w:rPr>
          <w:rFonts w:ascii="Arial" w:hAnsi="Arial" w:cs="Arial"/>
        </w:rPr>
        <w:t xml:space="preserve"> per cent</w:t>
      </w:r>
      <w:r w:rsidR="00BC167D" w:rsidRPr="00113777">
        <w:rPr>
          <w:rFonts w:ascii="Arial" w:hAnsi="Arial" w:cs="Arial"/>
        </w:rPr>
        <w:t xml:space="preserve"> of these cases were </w:t>
      </w:r>
      <w:proofErr w:type="gramStart"/>
      <w:r w:rsidR="00BC167D" w:rsidRPr="00113777">
        <w:rPr>
          <w:rFonts w:ascii="Arial" w:hAnsi="Arial" w:cs="Arial"/>
        </w:rPr>
        <w:t>employment-related</w:t>
      </w:r>
      <w:proofErr w:type="gramEnd"/>
      <w:r w:rsidR="00BC167D" w:rsidRPr="00113777">
        <w:rPr>
          <w:rFonts w:ascii="Arial" w:hAnsi="Arial" w:cs="Arial"/>
        </w:rPr>
        <w:t>. The average age of active cases 478.3 days. The average age of closed cases is 538.99 days. The delay in processing claims is not just unreasonable</w:t>
      </w:r>
      <w:r w:rsidR="000F6403" w:rsidRPr="00113777">
        <w:rPr>
          <w:rFonts w:ascii="Arial" w:hAnsi="Arial" w:cs="Arial"/>
        </w:rPr>
        <w:t>,</w:t>
      </w:r>
      <w:r w:rsidR="00BC167D" w:rsidRPr="00113777">
        <w:rPr>
          <w:rFonts w:ascii="Arial" w:hAnsi="Arial" w:cs="Arial"/>
        </w:rPr>
        <w:t xml:space="preserve"> it is unconscionable.   </w:t>
      </w:r>
    </w:p>
    <w:p w14:paraId="0E8306B5" w14:textId="7D3FC979" w:rsidR="00FD7606" w:rsidRPr="00113777" w:rsidRDefault="0083636C" w:rsidP="00F4035B">
      <w:pPr>
        <w:spacing w:line="480" w:lineRule="auto"/>
        <w:rPr>
          <w:rFonts w:ascii="Arial" w:hAnsi="Arial" w:cs="Arial"/>
        </w:rPr>
      </w:pPr>
      <w:r w:rsidRPr="00113777">
        <w:rPr>
          <w:rFonts w:ascii="Arial" w:hAnsi="Arial" w:cs="Arial"/>
        </w:rPr>
        <w:t xml:space="preserve">Complaints not being investigated and resolved in a timely </w:t>
      </w:r>
      <w:r w:rsidR="00162740" w:rsidRPr="00113777">
        <w:rPr>
          <w:rFonts w:ascii="Arial" w:hAnsi="Arial" w:cs="Arial"/>
        </w:rPr>
        <w:t xml:space="preserve">manner </w:t>
      </w:r>
      <w:r w:rsidRPr="00113777">
        <w:rPr>
          <w:rFonts w:ascii="Arial" w:hAnsi="Arial" w:cs="Arial"/>
        </w:rPr>
        <w:t>harms everyone involved in the process. It is particularly harmful for complainants</w:t>
      </w:r>
      <w:r w:rsidR="00F97508" w:rsidRPr="00113777">
        <w:rPr>
          <w:rFonts w:ascii="Arial" w:hAnsi="Arial" w:cs="Arial"/>
        </w:rPr>
        <w:t xml:space="preserve"> who feel further marginalized and revictimized by dysfunctional processes</w:t>
      </w:r>
      <w:r w:rsidR="00306959" w:rsidRPr="00113777">
        <w:rPr>
          <w:rFonts w:ascii="Arial" w:hAnsi="Arial" w:cs="Arial"/>
        </w:rPr>
        <w:t>.</w:t>
      </w:r>
      <w:r w:rsidR="00370A98" w:rsidRPr="00113777">
        <w:rPr>
          <w:rFonts w:ascii="Arial" w:hAnsi="Arial" w:cs="Arial"/>
        </w:rPr>
        <w:t xml:space="preserve"> </w:t>
      </w:r>
      <w:r w:rsidR="008B5DB1" w:rsidRPr="00113777">
        <w:rPr>
          <w:rFonts w:ascii="Arial" w:hAnsi="Arial" w:cs="Arial"/>
        </w:rPr>
        <w:t>Their health may be affected. Some</w:t>
      </w:r>
      <w:r w:rsidR="008C606A" w:rsidRPr="00113777">
        <w:rPr>
          <w:rFonts w:ascii="Arial" w:hAnsi="Arial" w:cs="Arial"/>
        </w:rPr>
        <w:t xml:space="preserve"> educators</w:t>
      </w:r>
      <w:r w:rsidR="008B5DB1" w:rsidRPr="00113777">
        <w:rPr>
          <w:rFonts w:ascii="Arial" w:hAnsi="Arial" w:cs="Arial"/>
        </w:rPr>
        <w:t xml:space="preserve"> are unable to continue </w:t>
      </w:r>
      <w:r w:rsidR="008B5DB1" w:rsidRPr="00113777">
        <w:rPr>
          <w:rFonts w:ascii="Arial" w:hAnsi="Arial" w:cs="Arial"/>
        </w:rPr>
        <w:lastRenderedPageBreak/>
        <w:t xml:space="preserve">working. They may go on disability leaves, file Workplace Safety and Insurance Board (WSIB) mental stress claims, or choose to leave the profession, including retiring earlier than they planned. </w:t>
      </w:r>
    </w:p>
    <w:p w14:paraId="53A5014E" w14:textId="77777777" w:rsidR="006C43FC" w:rsidRPr="00113777" w:rsidRDefault="008B5DB1" w:rsidP="006C43FC">
      <w:pPr>
        <w:spacing w:line="480" w:lineRule="auto"/>
        <w:rPr>
          <w:rFonts w:ascii="Arial" w:hAnsi="Arial" w:cs="Arial"/>
        </w:rPr>
      </w:pPr>
      <w:r w:rsidRPr="00113777">
        <w:rPr>
          <w:rFonts w:ascii="Arial" w:hAnsi="Arial" w:cs="Arial"/>
        </w:rPr>
        <w:t xml:space="preserve">The causes for delay </w:t>
      </w:r>
      <w:r w:rsidR="00147F15" w:rsidRPr="00113777">
        <w:rPr>
          <w:rFonts w:ascii="Arial" w:hAnsi="Arial" w:cs="Arial"/>
        </w:rPr>
        <w:t xml:space="preserve">are </w:t>
      </w:r>
      <w:r w:rsidRPr="00113777">
        <w:rPr>
          <w:rFonts w:ascii="Arial" w:hAnsi="Arial" w:cs="Arial"/>
        </w:rPr>
        <w:t>almost always related to resources. It is critical that sufficient resources (human, financial, and technological) be provided to</w:t>
      </w:r>
      <w:r w:rsidR="00BC167D" w:rsidRPr="00113777">
        <w:rPr>
          <w:rFonts w:ascii="Arial" w:hAnsi="Arial" w:cs="Arial"/>
        </w:rPr>
        <w:t xml:space="preserve"> </w:t>
      </w:r>
      <w:r w:rsidR="00F35572" w:rsidRPr="00113777">
        <w:rPr>
          <w:rFonts w:ascii="Arial" w:hAnsi="Arial" w:cs="Arial"/>
        </w:rPr>
        <w:t>ensure the fair, respectful and timely processing of complaints.</w:t>
      </w:r>
      <w:r w:rsidR="006C43FC" w:rsidRPr="00113777">
        <w:rPr>
          <w:rFonts w:ascii="Arial" w:hAnsi="Arial" w:cs="Arial"/>
        </w:rPr>
        <w:t xml:space="preserve"> </w:t>
      </w:r>
    </w:p>
    <w:p w14:paraId="7C2FE5F9" w14:textId="77777777" w:rsidR="00D678BC" w:rsidRPr="00113777" w:rsidRDefault="00D678BC" w:rsidP="00D678BC">
      <w:pPr>
        <w:spacing w:line="480" w:lineRule="auto"/>
        <w:rPr>
          <w:rFonts w:ascii="Arial" w:hAnsi="Arial" w:cs="Arial"/>
        </w:rPr>
      </w:pPr>
      <w:r w:rsidRPr="00113777">
        <w:rPr>
          <w:rFonts w:ascii="Arial" w:hAnsi="Arial" w:cs="Arial"/>
        </w:rPr>
        <w:t xml:space="preserve">The Ministry must provide sufficient funding to school boards to establish Human Rights Offices (where they do not already exist) and ensure that such offices are appropriately staffed with </w:t>
      </w:r>
      <w:r w:rsidR="005038FE" w:rsidRPr="00113777">
        <w:rPr>
          <w:rFonts w:ascii="Arial" w:hAnsi="Arial" w:cs="Arial"/>
        </w:rPr>
        <w:t>enough</w:t>
      </w:r>
      <w:r w:rsidRPr="00113777">
        <w:rPr>
          <w:rFonts w:ascii="Arial" w:hAnsi="Arial" w:cs="Arial"/>
        </w:rPr>
        <w:t xml:space="preserve"> experienced human rights specialists to carry out </w:t>
      </w:r>
      <w:proofErr w:type="gramStart"/>
      <w:r w:rsidRPr="00113777">
        <w:rPr>
          <w:rFonts w:ascii="Arial" w:hAnsi="Arial" w:cs="Arial"/>
        </w:rPr>
        <w:t>all of</w:t>
      </w:r>
      <w:proofErr w:type="gramEnd"/>
      <w:r w:rsidRPr="00113777">
        <w:rPr>
          <w:rFonts w:ascii="Arial" w:hAnsi="Arial" w:cs="Arial"/>
        </w:rPr>
        <w:t xml:space="preserve"> the responsibilities of the role, including investigating complaints. Funding for the technology required for data tracking</w:t>
      </w:r>
      <w:r w:rsidR="00631F7F" w:rsidRPr="00113777">
        <w:rPr>
          <w:rFonts w:ascii="Arial" w:hAnsi="Arial" w:cs="Arial"/>
        </w:rPr>
        <w:t>, investigation management and progress reporting</w:t>
      </w:r>
      <w:r w:rsidR="00F07CDB" w:rsidRPr="00113777">
        <w:rPr>
          <w:rFonts w:ascii="Arial" w:hAnsi="Arial" w:cs="Arial"/>
        </w:rPr>
        <w:t xml:space="preserve"> </w:t>
      </w:r>
      <w:r w:rsidRPr="00113777">
        <w:rPr>
          <w:rFonts w:ascii="Arial" w:hAnsi="Arial" w:cs="Arial"/>
        </w:rPr>
        <w:t>is required as is funding for ongoing professional development for staff.</w:t>
      </w:r>
    </w:p>
    <w:p w14:paraId="54967D16" w14:textId="42BBAFDA" w:rsidR="00D678BC" w:rsidRPr="00113777" w:rsidRDefault="00D678BC" w:rsidP="00D678BC">
      <w:pPr>
        <w:spacing w:line="480" w:lineRule="auto"/>
        <w:rPr>
          <w:rFonts w:ascii="Arial" w:hAnsi="Arial" w:cs="Arial"/>
        </w:rPr>
      </w:pPr>
      <w:r w:rsidRPr="00113777">
        <w:rPr>
          <w:rFonts w:ascii="Arial" w:hAnsi="Arial" w:cs="Arial"/>
        </w:rPr>
        <w:t>It should be noted that the delays in processing complaints reported by the TDSB occurred in a Human Rights Office</w:t>
      </w:r>
      <w:r w:rsidR="005A5F5D" w:rsidRPr="00113777">
        <w:rPr>
          <w:rFonts w:ascii="Arial" w:hAnsi="Arial" w:cs="Arial"/>
        </w:rPr>
        <w:t xml:space="preserve"> (HRO)</w:t>
      </w:r>
      <w:r w:rsidRPr="00113777">
        <w:rPr>
          <w:rFonts w:ascii="Arial" w:hAnsi="Arial" w:cs="Arial"/>
        </w:rPr>
        <w:t xml:space="preserve"> that grew from a staff of </w:t>
      </w:r>
      <w:r w:rsidR="009C6B2B" w:rsidRPr="00113777">
        <w:rPr>
          <w:rFonts w:ascii="Arial" w:hAnsi="Arial" w:cs="Arial"/>
        </w:rPr>
        <w:t>four</w:t>
      </w:r>
      <w:r w:rsidRPr="00113777">
        <w:rPr>
          <w:rFonts w:ascii="Arial" w:hAnsi="Arial" w:cs="Arial"/>
        </w:rPr>
        <w:t xml:space="preserve"> to </w:t>
      </w:r>
      <w:r w:rsidR="009C6B2B" w:rsidRPr="00113777">
        <w:rPr>
          <w:rFonts w:ascii="Arial" w:hAnsi="Arial" w:cs="Arial"/>
        </w:rPr>
        <w:t>ten</w:t>
      </w:r>
      <w:r w:rsidRPr="00113777">
        <w:rPr>
          <w:rFonts w:ascii="Arial" w:hAnsi="Arial" w:cs="Arial"/>
        </w:rPr>
        <w:t xml:space="preserve"> in 2018. Virtually </w:t>
      </w:r>
      <w:proofErr w:type="gramStart"/>
      <w:r w:rsidRPr="00113777">
        <w:rPr>
          <w:rFonts w:ascii="Arial" w:hAnsi="Arial" w:cs="Arial"/>
        </w:rPr>
        <w:t>all of</w:t>
      </w:r>
      <w:proofErr w:type="gramEnd"/>
      <w:r w:rsidRPr="00113777">
        <w:rPr>
          <w:rFonts w:ascii="Arial" w:hAnsi="Arial" w:cs="Arial"/>
        </w:rPr>
        <w:t xml:space="preserve"> the complaints </w:t>
      </w:r>
      <w:r w:rsidR="00123498" w:rsidRPr="00113777">
        <w:rPr>
          <w:rFonts w:ascii="Arial" w:hAnsi="Arial" w:cs="Arial"/>
        </w:rPr>
        <w:t xml:space="preserve">considered in the TDSB report </w:t>
      </w:r>
      <w:r w:rsidRPr="00113777">
        <w:rPr>
          <w:rFonts w:ascii="Arial" w:hAnsi="Arial" w:cs="Arial"/>
        </w:rPr>
        <w:t xml:space="preserve">are employment-related as the HRO’s mandate has not yet been extended to the investigation of complaints involving students. ETFO is very concerned that, without sufficient resources to deal with all complaints appropriately, the delays will continue to increase. </w:t>
      </w:r>
    </w:p>
    <w:p w14:paraId="2C49AA1B" w14:textId="1E63FDCF" w:rsidR="00D678BC" w:rsidRPr="00113777" w:rsidRDefault="00D678BC" w:rsidP="00D678BC">
      <w:pPr>
        <w:spacing w:line="480" w:lineRule="auto"/>
        <w:rPr>
          <w:rFonts w:ascii="Arial" w:hAnsi="Arial" w:cs="Arial"/>
        </w:rPr>
      </w:pPr>
      <w:r w:rsidRPr="00113777">
        <w:rPr>
          <w:rFonts w:ascii="Arial" w:hAnsi="Arial" w:cs="Arial"/>
        </w:rPr>
        <w:t>The Ministry has stated in its project rationale for providing guidance to school boards on complaint procedures that the number of applications to the Human Rights Tribunal of Ontario</w:t>
      </w:r>
      <w:r w:rsidR="0074066B" w:rsidRPr="00113777">
        <w:rPr>
          <w:rFonts w:ascii="Arial" w:hAnsi="Arial" w:cs="Arial"/>
        </w:rPr>
        <w:t xml:space="preserve"> (HRTO)</w:t>
      </w:r>
      <w:r w:rsidRPr="00113777">
        <w:rPr>
          <w:rFonts w:ascii="Arial" w:hAnsi="Arial" w:cs="Arial"/>
        </w:rPr>
        <w:t xml:space="preserve"> is too high. ETFO disagrees with this conclusion </w:t>
      </w:r>
      <w:r w:rsidR="00123498" w:rsidRPr="00113777">
        <w:rPr>
          <w:rFonts w:ascii="Arial" w:hAnsi="Arial" w:cs="Arial"/>
        </w:rPr>
        <w:t>and with</w:t>
      </w:r>
      <w:r w:rsidR="0074066B" w:rsidRPr="00113777">
        <w:rPr>
          <w:rFonts w:ascii="Arial" w:hAnsi="Arial" w:cs="Arial"/>
        </w:rPr>
        <w:t xml:space="preserve"> the </w:t>
      </w:r>
      <w:r w:rsidR="000F6403" w:rsidRPr="00113777">
        <w:rPr>
          <w:rFonts w:ascii="Arial" w:hAnsi="Arial" w:cs="Arial"/>
        </w:rPr>
        <w:t xml:space="preserve">implication </w:t>
      </w:r>
      <w:r w:rsidR="0074066B" w:rsidRPr="00113777">
        <w:rPr>
          <w:rFonts w:ascii="Arial" w:hAnsi="Arial" w:cs="Arial"/>
        </w:rPr>
        <w:t>that</w:t>
      </w:r>
      <w:r w:rsidRPr="00113777">
        <w:rPr>
          <w:rFonts w:ascii="Arial" w:hAnsi="Arial" w:cs="Arial"/>
        </w:rPr>
        <w:t xml:space="preserve"> increasing access to complaint procedures, particularly given the current challenges, will impact the number of HRTO applications. </w:t>
      </w:r>
    </w:p>
    <w:p w14:paraId="210FA3FA" w14:textId="066FC4B5" w:rsidR="00D678BC" w:rsidRPr="00113777" w:rsidRDefault="00D678BC" w:rsidP="00D678BC">
      <w:pPr>
        <w:spacing w:line="480" w:lineRule="auto"/>
        <w:rPr>
          <w:rFonts w:ascii="Arial" w:hAnsi="Arial" w:cs="Arial"/>
        </w:rPr>
      </w:pPr>
      <w:r w:rsidRPr="00113777">
        <w:rPr>
          <w:rFonts w:ascii="Arial" w:hAnsi="Arial" w:cs="Arial"/>
        </w:rPr>
        <w:lastRenderedPageBreak/>
        <w:t xml:space="preserve">The Ministry states that “1,048 HRTO applications [were] filed against 68 school boards between January 1, 2012 and December 31, 2019.” This amounts to less than </w:t>
      </w:r>
      <w:r w:rsidR="003D76D3" w:rsidRPr="00113777">
        <w:rPr>
          <w:rFonts w:ascii="Arial" w:hAnsi="Arial" w:cs="Arial"/>
        </w:rPr>
        <w:t xml:space="preserve">two </w:t>
      </w:r>
      <w:r w:rsidRPr="00113777">
        <w:rPr>
          <w:rFonts w:ascii="Arial" w:hAnsi="Arial" w:cs="Arial"/>
        </w:rPr>
        <w:t xml:space="preserve">applications per board per year over an eight-year period. The TDSB </w:t>
      </w:r>
      <w:r w:rsidR="000F6403" w:rsidRPr="00113777">
        <w:rPr>
          <w:rFonts w:ascii="Arial" w:hAnsi="Arial" w:cs="Arial"/>
          <w:i/>
          <w:iCs/>
        </w:rPr>
        <w:t>Human Rights Update: Annual Report 2018-2020</w:t>
      </w:r>
      <w:r w:rsidR="003D76D3" w:rsidRPr="00113777">
        <w:rPr>
          <w:rFonts w:ascii="Arial" w:hAnsi="Arial" w:cs="Arial"/>
          <w:i/>
          <w:iCs/>
        </w:rPr>
        <w:t xml:space="preserve"> </w:t>
      </w:r>
      <w:r w:rsidRPr="00113777">
        <w:rPr>
          <w:rFonts w:ascii="Arial" w:hAnsi="Arial" w:cs="Arial"/>
        </w:rPr>
        <w:t>data demonstrates that the number of HRTO applications against the TDSB has remained relatively consistent over the period of 2016-2019.</w:t>
      </w:r>
      <w:r w:rsidRPr="00113777">
        <w:rPr>
          <w:rStyle w:val="FootnoteReference"/>
          <w:rFonts w:ascii="Arial" w:hAnsi="Arial" w:cs="Arial"/>
        </w:rPr>
        <w:footnoteReference w:id="11"/>
      </w:r>
      <w:r w:rsidRPr="00113777">
        <w:rPr>
          <w:rFonts w:ascii="Arial" w:hAnsi="Arial" w:cs="Arial"/>
        </w:rPr>
        <w:t xml:space="preserve"> </w:t>
      </w:r>
    </w:p>
    <w:p w14:paraId="3094196C" w14:textId="005F345F" w:rsidR="00855C7C" w:rsidRPr="00113777" w:rsidRDefault="00D678BC" w:rsidP="00D678BC">
      <w:pPr>
        <w:spacing w:line="480" w:lineRule="auto"/>
        <w:rPr>
          <w:rFonts w:ascii="Arial" w:hAnsi="Arial" w:cs="Arial"/>
        </w:rPr>
      </w:pPr>
      <w:r w:rsidRPr="00113777">
        <w:rPr>
          <w:rFonts w:ascii="Arial" w:hAnsi="Arial" w:cs="Arial"/>
        </w:rPr>
        <w:t xml:space="preserve">It is also important to remember that prior to the creation of the HRTO in 2008 as a direct-access system, human rights complaints were filed with and investigated by the Ontario Human Rights Commission, which determined which complaints would be adjudicated by the tribunal. Significant delays and backlogs in processing complaints by the Commission were one of </w:t>
      </w:r>
      <w:r w:rsidR="003D76D3" w:rsidRPr="00113777">
        <w:rPr>
          <w:rFonts w:ascii="Arial" w:hAnsi="Arial" w:cs="Arial"/>
        </w:rPr>
        <w:t xml:space="preserve">the </w:t>
      </w:r>
      <w:r w:rsidRPr="00113777">
        <w:rPr>
          <w:rFonts w:ascii="Arial" w:hAnsi="Arial" w:cs="Arial"/>
        </w:rPr>
        <w:t>key reasons for the creation of the HRTO.</w:t>
      </w:r>
    </w:p>
    <w:p w14:paraId="70128350" w14:textId="2F98C9CF" w:rsidR="00D678BC" w:rsidRPr="00113777" w:rsidRDefault="00D678BC" w:rsidP="00D678BC">
      <w:pPr>
        <w:spacing w:line="480" w:lineRule="auto"/>
        <w:rPr>
          <w:rFonts w:ascii="Arial" w:hAnsi="Arial" w:cs="Arial"/>
        </w:rPr>
      </w:pPr>
      <w:r w:rsidRPr="00113777">
        <w:rPr>
          <w:rFonts w:ascii="Arial" w:hAnsi="Arial" w:cs="Arial"/>
        </w:rPr>
        <w:t>The HRTO serves an important function</w:t>
      </w:r>
      <w:r w:rsidR="00462F03" w:rsidRPr="00113777">
        <w:rPr>
          <w:rFonts w:ascii="Arial" w:hAnsi="Arial" w:cs="Arial"/>
        </w:rPr>
        <w:t>. It provides remedies not available through internal board processes and is an independent adjudicative body</w:t>
      </w:r>
      <w:r w:rsidR="00855C7C" w:rsidRPr="00113777">
        <w:rPr>
          <w:rFonts w:ascii="Arial" w:hAnsi="Arial" w:cs="Arial"/>
        </w:rPr>
        <w:t xml:space="preserve">. It </w:t>
      </w:r>
      <w:r w:rsidRPr="00113777">
        <w:rPr>
          <w:rFonts w:ascii="Arial" w:hAnsi="Arial" w:cs="Arial"/>
        </w:rPr>
        <w:t xml:space="preserve">must be appropriately funded.  </w:t>
      </w:r>
    </w:p>
    <w:p w14:paraId="11447792" w14:textId="77777777" w:rsidR="00D678BC" w:rsidRPr="00113777" w:rsidRDefault="00D678BC" w:rsidP="00D678BC">
      <w:pPr>
        <w:pStyle w:val="Heading1"/>
      </w:pPr>
      <w:bookmarkStart w:id="18" w:name="_Toc77764114"/>
      <w:bookmarkStart w:id="19" w:name="_Toc77934722"/>
      <w:r w:rsidRPr="00113777">
        <w:t>Complaint Processes for Students</w:t>
      </w:r>
      <w:bookmarkEnd w:id="18"/>
      <w:bookmarkEnd w:id="19"/>
    </w:p>
    <w:p w14:paraId="0AABD7E9" w14:textId="77777777" w:rsidR="00D678BC" w:rsidRPr="00113777" w:rsidRDefault="00D678BC" w:rsidP="00D678BC">
      <w:pPr>
        <w:spacing w:line="480" w:lineRule="auto"/>
        <w:rPr>
          <w:rFonts w:ascii="Arial" w:hAnsi="Arial" w:cs="Arial"/>
        </w:rPr>
      </w:pPr>
      <w:r w:rsidRPr="00113777">
        <w:rPr>
          <w:rFonts w:ascii="Arial" w:hAnsi="Arial" w:cs="Arial"/>
        </w:rPr>
        <w:t xml:space="preserve">As noted above, ETFO is not aware of any school board that has a comprehensive human rights complaint policy and procedure for students. </w:t>
      </w:r>
      <w:r w:rsidR="00CE25AF" w:rsidRPr="00113777">
        <w:rPr>
          <w:rFonts w:ascii="Arial" w:hAnsi="Arial" w:cs="Arial"/>
        </w:rPr>
        <w:t xml:space="preserve">This </w:t>
      </w:r>
      <w:r w:rsidRPr="00113777">
        <w:rPr>
          <w:rFonts w:ascii="Arial" w:hAnsi="Arial" w:cs="Arial"/>
        </w:rPr>
        <w:t>must change. Students and their families/caregivers deserve to have human rights issue</w:t>
      </w:r>
      <w:r w:rsidR="00CE25AF" w:rsidRPr="00113777">
        <w:rPr>
          <w:rFonts w:ascii="Arial" w:hAnsi="Arial" w:cs="Arial"/>
        </w:rPr>
        <w:t>s</w:t>
      </w:r>
      <w:r w:rsidRPr="00113777">
        <w:rPr>
          <w:rFonts w:ascii="Arial" w:hAnsi="Arial" w:cs="Arial"/>
        </w:rPr>
        <w:t xml:space="preserve"> and complaints dealt with in a fair, respectful, and timely manner.</w:t>
      </w:r>
    </w:p>
    <w:p w14:paraId="7D86BE23" w14:textId="6AE5279C" w:rsidR="00D678BC" w:rsidRPr="00113777" w:rsidRDefault="00D678BC" w:rsidP="00D678BC">
      <w:pPr>
        <w:spacing w:line="480" w:lineRule="auto"/>
        <w:rPr>
          <w:rFonts w:ascii="Arial" w:hAnsi="Arial" w:cs="Arial"/>
        </w:rPr>
      </w:pPr>
      <w:r w:rsidRPr="00113777">
        <w:rPr>
          <w:rFonts w:ascii="Arial" w:hAnsi="Arial" w:cs="Arial"/>
        </w:rPr>
        <w:lastRenderedPageBreak/>
        <w:t xml:space="preserve">ETFO’s </w:t>
      </w:r>
      <w:r w:rsidR="008662E7" w:rsidRPr="00113777">
        <w:rPr>
          <w:rFonts w:ascii="Arial" w:hAnsi="Arial" w:cs="Arial"/>
        </w:rPr>
        <w:t>views</w:t>
      </w:r>
      <w:r w:rsidRPr="00113777">
        <w:rPr>
          <w:rFonts w:ascii="Arial" w:hAnsi="Arial" w:cs="Arial"/>
        </w:rPr>
        <w:t xml:space="preserve"> about the importance of school boards being proactive in identifying and addressing human rights issues before they become complaints and making those in positions </w:t>
      </w:r>
      <w:r w:rsidR="003D76D3" w:rsidRPr="00113777">
        <w:rPr>
          <w:rFonts w:ascii="Arial" w:hAnsi="Arial" w:cs="Arial"/>
        </w:rPr>
        <w:t xml:space="preserve">of </w:t>
      </w:r>
      <w:r w:rsidRPr="00113777">
        <w:rPr>
          <w:rFonts w:ascii="Arial" w:hAnsi="Arial" w:cs="Arial"/>
        </w:rPr>
        <w:t xml:space="preserve">power accountable for the enforcement of human rights, apply equally to students. </w:t>
      </w:r>
    </w:p>
    <w:p w14:paraId="35394345" w14:textId="77777777" w:rsidR="00D678BC" w:rsidRPr="00113777" w:rsidRDefault="00D678BC" w:rsidP="00D678BC">
      <w:pPr>
        <w:spacing w:line="480" w:lineRule="auto"/>
        <w:rPr>
          <w:rFonts w:ascii="Arial" w:hAnsi="Arial" w:cs="Arial"/>
        </w:rPr>
      </w:pPr>
      <w:r w:rsidRPr="00113777">
        <w:rPr>
          <w:rFonts w:ascii="Arial" w:hAnsi="Arial" w:cs="Arial"/>
        </w:rPr>
        <w:t>With respect to proactive enforcement of human rights, ETFO supports policies and procedures that place positive duties on board staff to report human rights violations (e.g.</w:t>
      </w:r>
      <w:r w:rsidR="000F6403" w:rsidRPr="00113777">
        <w:rPr>
          <w:rFonts w:ascii="Arial" w:hAnsi="Arial" w:cs="Arial"/>
        </w:rPr>
        <w:t>,</w:t>
      </w:r>
      <w:r w:rsidRPr="00113777">
        <w:rPr>
          <w:rFonts w:ascii="Arial" w:hAnsi="Arial" w:cs="Arial"/>
        </w:rPr>
        <w:t xml:space="preserve"> TDSB Procedure PR728 Reporting and Responding to Racism and Hate Incidents Involving or Impacting Students in Schools).</w:t>
      </w:r>
    </w:p>
    <w:p w14:paraId="5B4F07ED" w14:textId="19902985" w:rsidR="00EE7DD1" w:rsidRPr="00113777" w:rsidRDefault="00D678BC" w:rsidP="00D678BC">
      <w:pPr>
        <w:spacing w:line="480" w:lineRule="auto"/>
        <w:rPr>
          <w:rFonts w:ascii="Arial" w:hAnsi="Arial" w:cs="Arial"/>
        </w:rPr>
      </w:pPr>
      <w:r w:rsidRPr="00113777">
        <w:rPr>
          <w:rFonts w:ascii="Arial" w:hAnsi="Arial" w:cs="Arial"/>
        </w:rPr>
        <w:t xml:space="preserve">With the </w:t>
      </w:r>
      <w:r w:rsidR="00980057" w:rsidRPr="00113777">
        <w:rPr>
          <w:rFonts w:ascii="Arial" w:hAnsi="Arial" w:cs="Arial"/>
        </w:rPr>
        <w:t xml:space="preserve">types </w:t>
      </w:r>
      <w:r w:rsidRPr="00113777">
        <w:rPr>
          <w:rFonts w:ascii="Arial" w:hAnsi="Arial" w:cs="Arial"/>
        </w:rPr>
        <w:t xml:space="preserve">of improvements mentioned in </w:t>
      </w:r>
      <w:r w:rsidR="00980057" w:rsidRPr="00113777">
        <w:rPr>
          <w:rFonts w:ascii="Arial" w:hAnsi="Arial" w:cs="Arial"/>
        </w:rPr>
        <w:t>this submission</w:t>
      </w:r>
      <w:r w:rsidRPr="00113777">
        <w:rPr>
          <w:rFonts w:ascii="Arial" w:hAnsi="Arial" w:cs="Arial"/>
        </w:rPr>
        <w:t>, existing workplace complaint policies and procedures could be easily modified for complaints relating to students. Many of ETFO</w:t>
      </w:r>
      <w:r w:rsidR="004A73DF" w:rsidRPr="00113777">
        <w:rPr>
          <w:rFonts w:ascii="Arial" w:hAnsi="Arial" w:cs="Arial"/>
        </w:rPr>
        <w:t>’s</w:t>
      </w:r>
      <w:r w:rsidRPr="00113777">
        <w:rPr>
          <w:rFonts w:ascii="Arial" w:hAnsi="Arial" w:cs="Arial"/>
        </w:rPr>
        <w:t xml:space="preserve"> recommendations related to Indigenous students apply to other students. The</w:t>
      </w:r>
      <w:r w:rsidR="00A53A24" w:rsidRPr="00113777">
        <w:rPr>
          <w:rFonts w:ascii="Arial" w:hAnsi="Arial" w:cs="Arial"/>
        </w:rPr>
        <w:t xml:space="preserve">re is a need </w:t>
      </w:r>
      <w:r w:rsidRPr="00113777">
        <w:rPr>
          <w:rFonts w:ascii="Arial" w:hAnsi="Arial" w:cs="Arial"/>
        </w:rPr>
        <w:t xml:space="preserve">to provide mechanisms for addressing human rights issues in other board and </w:t>
      </w:r>
      <w:r w:rsidRPr="00113777">
        <w:rPr>
          <w:rFonts w:ascii="Arial" w:hAnsi="Arial" w:cs="Arial"/>
          <w:i/>
          <w:iCs/>
        </w:rPr>
        <w:t xml:space="preserve">Education Act </w:t>
      </w:r>
      <w:r w:rsidRPr="00113777">
        <w:rPr>
          <w:rFonts w:ascii="Arial" w:hAnsi="Arial" w:cs="Arial"/>
        </w:rPr>
        <w:t>processes, such as those relating to student discipline and special education services.</w:t>
      </w:r>
      <w:r w:rsidR="00EE7DD1" w:rsidRPr="00113777">
        <w:rPr>
          <w:rFonts w:ascii="Arial" w:hAnsi="Arial" w:cs="Arial"/>
        </w:rPr>
        <w:t xml:space="preserve"> </w:t>
      </w:r>
    </w:p>
    <w:p w14:paraId="2E08872A" w14:textId="71D48145" w:rsidR="00462F03" w:rsidRPr="00113777" w:rsidRDefault="00D678BC" w:rsidP="00D678BC">
      <w:pPr>
        <w:spacing w:line="480" w:lineRule="auto"/>
        <w:rPr>
          <w:rFonts w:ascii="Arial" w:hAnsi="Arial" w:cs="Arial"/>
        </w:rPr>
      </w:pPr>
      <w:r w:rsidRPr="00113777">
        <w:rPr>
          <w:rFonts w:ascii="Arial" w:hAnsi="Arial" w:cs="Arial"/>
        </w:rPr>
        <w:t>Clear and accessible information about student’s legal rights and board policies, procedures and enforcement must be readily available for students/families/caregivers in electronic and hard copy formats. School boards should make this information available outside of the school board in the broader community. Boards should also provide contact information for organizations outside the board that can provide support and advocacy services to students/families/caregivers (e.g.</w:t>
      </w:r>
      <w:r w:rsidR="00B3082F" w:rsidRPr="00113777">
        <w:rPr>
          <w:rFonts w:ascii="Arial" w:hAnsi="Arial" w:cs="Arial"/>
        </w:rPr>
        <w:t>,</w:t>
      </w:r>
      <w:r w:rsidRPr="00113777">
        <w:rPr>
          <w:rFonts w:ascii="Arial" w:hAnsi="Arial" w:cs="Arial"/>
        </w:rPr>
        <w:t xml:space="preserve"> legal clinics, such as Justice for Children and Youth, the Black Legal Action Centre, and ARCH).</w:t>
      </w:r>
      <w:r w:rsidR="00462F03" w:rsidRPr="00113777">
        <w:rPr>
          <w:rFonts w:ascii="Arial" w:hAnsi="Arial" w:cs="Arial"/>
        </w:rPr>
        <w:t xml:space="preserve"> </w:t>
      </w:r>
    </w:p>
    <w:p w14:paraId="39170E67" w14:textId="77777777" w:rsidR="00F9308E" w:rsidRPr="00113777" w:rsidRDefault="00D678BC" w:rsidP="006424AD">
      <w:pPr>
        <w:pStyle w:val="Heading1"/>
        <w:rPr>
          <w:lang w:val="en-CA"/>
        </w:rPr>
      </w:pPr>
      <w:bookmarkStart w:id="20" w:name="_Toc77764115"/>
      <w:bookmarkStart w:id="21" w:name="_Toc77934723"/>
      <w:r w:rsidRPr="00113777">
        <w:rPr>
          <w:lang w:val="en-CA"/>
        </w:rPr>
        <w:t>Conclusi</w:t>
      </w:r>
      <w:bookmarkEnd w:id="20"/>
      <w:r w:rsidR="00BC2295" w:rsidRPr="00113777">
        <w:rPr>
          <w:lang w:val="en-CA"/>
        </w:rPr>
        <w:t>on</w:t>
      </w:r>
      <w:bookmarkEnd w:id="21"/>
    </w:p>
    <w:p w14:paraId="5B5AD0BC" w14:textId="5478CE35" w:rsidR="003C2FAE" w:rsidRPr="00113777" w:rsidRDefault="00855C7C" w:rsidP="00EE7DD1">
      <w:pPr>
        <w:spacing w:line="480" w:lineRule="auto"/>
        <w:rPr>
          <w:rFonts w:ascii="Arial" w:hAnsi="Arial" w:cs="Arial"/>
        </w:rPr>
      </w:pPr>
      <w:r w:rsidRPr="00113777">
        <w:rPr>
          <w:rFonts w:ascii="Arial" w:hAnsi="Arial" w:cs="Arial"/>
        </w:rPr>
        <w:t xml:space="preserve">The responsibility for dismantling oppressive systems and </w:t>
      </w:r>
      <w:r w:rsidR="00541222" w:rsidRPr="00113777">
        <w:rPr>
          <w:rFonts w:ascii="Arial" w:hAnsi="Arial" w:cs="Arial"/>
        </w:rPr>
        <w:t>eradicating discrimination in our schools cannot fall on the individuals and communities who are experiencing oppression and discrimination. That strategy has not worked to date and</w:t>
      </w:r>
      <w:r w:rsidR="003C2FAE" w:rsidRPr="00113777">
        <w:rPr>
          <w:rFonts w:ascii="Arial" w:hAnsi="Arial" w:cs="Arial"/>
        </w:rPr>
        <w:t xml:space="preserve"> often only reinforces the distrust, pain, and </w:t>
      </w:r>
      <w:r w:rsidR="003C2FAE" w:rsidRPr="00113777">
        <w:rPr>
          <w:rFonts w:ascii="Arial" w:hAnsi="Arial" w:cs="Arial"/>
        </w:rPr>
        <w:lastRenderedPageBreak/>
        <w:t>disengagement many marginalized communities experience.</w:t>
      </w:r>
      <w:r w:rsidR="00F2659E" w:rsidRPr="00113777">
        <w:rPr>
          <w:rFonts w:ascii="Arial" w:hAnsi="Arial" w:cs="Arial"/>
        </w:rPr>
        <w:t xml:space="preserve"> Complaint procedures should not be the primary focus of any equity strategy </w:t>
      </w:r>
      <w:r w:rsidR="00F879BB" w:rsidRPr="00113777">
        <w:rPr>
          <w:rFonts w:ascii="Arial" w:hAnsi="Arial" w:cs="Arial"/>
        </w:rPr>
        <w:t>or</w:t>
      </w:r>
      <w:r w:rsidR="00F2659E" w:rsidRPr="00113777">
        <w:rPr>
          <w:rFonts w:ascii="Arial" w:hAnsi="Arial" w:cs="Arial"/>
        </w:rPr>
        <w:t xml:space="preserve"> plan for reconciliation with Indigenous communities. </w:t>
      </w:r>
      <w:r w:rsidR="002F6EC0" w:rsidRPr="00113777">
        <w:rPr>
          <w:rFonts w:ascii="Arial" w:hAnsi="Arial" w:cs="Arial"/>
        </w:rPr>
        <w:t xml:space="preserve">Complaint policies and procedures must provide for the fair, respectful, and timely disposition of complaints and must be followed, which requires funding and resources.    </w:t>
      </w:r>
    </w:p>
    <w:p w14:paraId="57414ACB" w14:textId="6DB2B785" w:rsidR="00F2659E" w:rsidRPr="00113777" w:rsidRDefault="00541222" w:rsidP="00EE7DD1">
      <w:pPr>
        <w:spacing w:line="480" w:lineRule="auto"/>
        <w:rPr>
          <w:rFonts w:ascii="Arial" w:hAnsi="Arial" w:cs="Arial"/>
        </w:rPr>
      </w:pPr>
      <w:r w:rsidRPr="00113777">
        <w:rPr>
          <w:rFonts w:ascii="Arial" w:hAnsi="Arial" w:cs="Arial"/>
        </w:rPr>
        <w:t>Protecting and upholding human rights and practicing reconciliation with Indigenous communities is everyone’s responsibility, especially those in positions of leadership in government and school boards</w:t>
      </w:r>
      <w:r w:rsidR="003C2FAE" w:rsidRPr="00113777">
        <w:rPr>
          <w:rFonts w:ascii="Arial" w:hAnsi="Arial" w:cs="Arial"/>
        </w:rPr>
        <w:t>.</w:t>
      </w:r>
      <w:r w:rsidR="00874244" w:rsidRPr="00113777">
        <w:rPr>
          <w:rFonts w:ascii="Arial" w:hAnsi="Arial" w:cs="Arial"/>
        </w:rPr>
        <w:t xml:space="preserve"> Working towards equity and reconciliation in our education system requires a proactive, strategic, systemic approach with accountability measures. It requires funding and </w:t>
      </w:r>
      <w:r w:rsidR="00F879BB" w:rsidRPr="00113777">
        <w:rPr>
          <w:rFonts w:ascii="Arial" w:hAnsi="Arial" w:cs="Arial"/>
        </w:rPr>
        <w:t>resources,</w:t>
      </w:r>
      <w:r w:rsidR="00874244" w:rsidRPr="00113777">
        <w:rPr>
          <w:rFonts w:ascii="Arial" w:hAnsi="Arial" w:cs="Arial"/>
        </w:rPr>
        <w:t xml:space="preserve"> and it must be mandatory. This was the approach in </w:t>
      </w:r>
      <w:r w:rsidR="00874244" w:rsidRPr="00113777">
        <w:rPr>
          <w:rFonts w:ascii="Arial" w:hAnsi="Arial" w:cs="Arial"/>
          <w:i/>
          <w:iCs/>
        </w:rPr>
        <w:t>Ontario’s Education Equity Plan</w:t>
      </w:r>
      <w:r w:rsidR="00874244" w:rsidRPr="00113777">
        <w:rPr>
          <w:rFonts w:ascii="Arial" w:hAnsi="Arial" w:cs="Arial"/>
        </w:rPr>
        <w:t xml:space="preserve"> and ETFO urges the Ministry to update and implement it. </w:t>
      </w:r>
      <w:r w:rsidR="00F2659E" w:rsidRPr="00113777">
        <w:rPr>
          <w:rFonts w:ascii="Arial" w:hAnsi="Arial" w:cs="Arial"/>
        </w:rPr>
        <w:t>In an education system where everyone is responsible and accountable for protecting and upholding human rights, human rights complaints should be rare.</w:t>
      </w:r>
      <w:r w:rsidR="002318EE" w:rsidRPr="00113777">
        <w:rPr>
          <w:rFonts w:ascii="Arial" w:hAnsi="Arial" w:cs="Arial"/>
        </w:rPr>
        <w:t xml:space="preserve"> </w:t>
      </w:r>
    </w:p>
    <w:p w14:paraId="30017254" w14:textId="1BD9C34A" w:rsidR="00FD19DF" w:rsidRPr="00113777" w:rsidRDefault="00FD19DF" w:rsidP="00EE7DD1">
      <w:r w:rsidRPr="00113777">
        <w:br w:type="page"/>
      </w:r>
    </w:p>
    <w:p w14:paraId="1B64DC99" w14:textId="636A0A81" w:rsidR="00220DFC" w:rsidRPr="00113777" w:rsidRDefault="00FD19DF" w:rsidP="00125FEC">
      <w:pPr>
        <w:pStyle w:val="Heading1"/>
      </w:pPr>
      <w:bookmarkStart w:id="22" w:name="_Toc77934724"/>
      <w:r w:rsidRPr="00113777">
        <w:lastRenderedPageBreak/>
        <w:t>Appendix A – Letter to Solicitor General and Minister of Education</w:t>
      </w:r>
      <w:bookmarkEnd w:id="22"/>
    </w:p>
    <w:p w14:paraId="56F101B8" w14:textId="758956C9" w:rsidR="00125FEC" w:rsidRPr="00113777" w:rsidRDefault="00125FEC" w:rsidP="00125FEC">
      <w:pPr>
        <w:rPr>
          <w:lang w:val="en-US"/>
        </w:rPr>
      </w:pPr>
      <w:r w:rsidRPr="00113777">
        <w:rPr>
          <w:lang w:val="en-US"/>
        </w:rPr>
        <w:t>See PDF.</w:t>
      </w:r>
    </w:p>
    <w:sectPr w:rsidR="00125FEC" w:rsidRPr="00113777" w:rsidSect="00BC2295">
      <w:headerReference w:type="default" r:id="rId15"/>
      <w:footerReference w:type="default" r:id="rId16"/>
      <w:type w:val="continuous"/>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40B7" w14:textId="77777777" w:rsidR="00932871" w:rsidRDefault="00932871" w:rsidP="001E10A2">
      <w:pPr>
        <w:spacing w:after="0" w:line="240" w:lineRule="auto"/>
      </w:pPr>
      <w:r>
        <w:separator/>
      </w:r>
    </w:p>
  </w:endnote>
  <w:endnote w:type="continuationSeparator" w:id="0">
    <w:p w14:paraId="417C8E67" w14:textId="77777777" w:rsidR="00932871" w:rsidRDefault="00932871"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Accent4"/>
      <w:tblW w:w="5000" w:type="pct"/>
      <w:tblLook w:val="04A0" w:firstRow="1" w:lastRow="0" w:firstColumn="1" w:lastColumn="0" w:noHBand="0" w:noVBand="1"/>
    </w:tblPr>
    <w:tblGrid>
      <w:gridCol w:w="968"/>
      <w:gridCol w:w="8710"/>
    </w:tblGrid>
    <w:tr w:rsidR="006B44D8" w14:paraId="131803C2" w14:textId="77777777" w:rsidTr="0086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1128C6DC" w14:textId="77777777" w:rsidR="006B44D8" w:rsidRDefault="006B44D8" w:rsidP="0094393A">
          <w:pPr>
            <w:pStyle w:val="Footer"/>
            <w:jc w:val="right"/>
            <w:rPr>
              <w:b w:val="0"/>
              <w:bCs w:val="0"/>
              <w:color w:val="FFFFFF" w:themeColor="background1"/>
            </w:rPr>
          </w:pPr>
          <w:r w:rsidRPr="00602473">
            <w:fldChar w:fldCharType="begin"/>
          </w:r>
          <w:r w:rsidRPr="00602473">
            <w:instrText xml:space="preserve"> PAGE   \* MERGEFORMAT </w:instrText>
          </w:r>
          <w:r w:rsidRPr="00602473">
            <w:fldChar w:fldCharType="separate"/>
          </w:r>
          <w:r w:rsidRPr="00602473">
            <w:rPr>
              <w:noProof/>
            </w:rPr>
            <w:t>2</w:t>
          </w:r>
          <w:r w:rsidRPr="00602473">
            <w:rPr>
              <w:noProof/>
            </w:rPr>
            <w:fldChar w:fldCharType="end"/>
          </w:r>
        </w:p>
      </w:tc>
      <w:tc>
        <w:tcPr>
          <w:tcW w:w="4500" w:type="pct"/>
        </w:tcPr>
        <w:p w14:paraId="6461B2DF" w14:textId="77777777" w:rsidR="006B44D8" w:rsidRDefault="006B44D8" w:rsidP="0094393A">
          <w:pPr>
            <w:pStyle w:val="Footer"/>
            <w:cnfStyle w:val="100000000000" w:firstRow="1" w:lastRow="0" w:firstColumn="0" w:lastColumn="0" w:oddVBand="0" w:evenVBand="0" w:oddHBand="0" w:evenHBand="0" w:firstRowFirstColumn="0" w:firstRowLastColumn="0" w:lastRowFirstColumn="0" w:lastRowLastColumn="0"/>
          </w:pPr>
          <w:r>
            <w:t>Elementary Teachers’ Federation of Ontario</w:t>
          </w:r>
        </w:p>
      </w:tc>
    </w:tr>
  </w:tbl>
  <w:p w14:paraId="1B54EECA" w14:textId="77777777" w:rsidR="006B44D8" w:rsidRPr="009D194B" w:rsidRDefault="006B44D8" w:rsidP="009D1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17B9" w14:textId="77777777" w:rsidR="006B44D8" w:rsidRPr="002A2AAC" w:rsidRDefault="006B44D8" w:rsidP="002A2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99871"/>
      <w:docPartObj>
        <w:docPartGallery w:val="Page Numbers (Bottom of Page)"/>
        <w:docPartUnique/>
      </w:docPartObj>
    </w:sdtPr>
    <w:sdtEndPr>
      <w:rPr>
        <w:noProof/>
      </w:rPr>
    </w:sdtEndPr>
    <w:sdtContent>
      <w:p w14:paraId="67410073" w14:textId="7C1F15B9" w:rsidR="002714C6" w:rsidRDefault="002714C6">
        <w:pPr>
          <w:pStyle w:val="Footer"/>
        </w:pPr>
        <w:r>
          <w:fldChar w:fldCharType="begin"/>
        </w:r>
        <w:r>
          <w:instrText xml:space="preserve"> PAGE   \* MERGEFORMAT </w:instrText>
        </w:r>
        <w:r>
          <w:fldChar w:fldCharType="separate"/>
        </w:r>
        <w:r>
          <w:rPr>
            <w:noProof/>
          </w:rPr>
          <w:t>2</w:t>
        </w:r>
        <w:r>
          <w:rPr>
            <w:noProof/>
          </w:rPr>
          <w:fldChar w:fldCharType="end"/>
        </w:r>
      </w:p>
    </w:sdtContent>
  </w:sdt>
  <w:p w14:paraId="47EC78DF" w14:textId="77777777" w:rsidR="006B44D8" w:rsidRPr="002A2AAC" w:rsidRDefault="006B44D8" w:rsidP="002A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82DD" w14:textId="77777777" w:rsidR="00932871" w:rsidRDefault="00932871" w:rsidP="001E10A2">
      <w:pPr>
        <w:spacing w:after="0" w:line="240" w:lineRule="auto"/>
      </w:pPr>
      <w:r>
        <w:separator/>
      </w:r>
    </w:p>
  </w:footnote>
  <w:footnote w:type="continuationSeparator" w:id="0">
    <w:p w14:paraId="7674FF38" w14:textId="77777777" w:rsidR="00932871" w:rsidRDefault="00932871" w:rsidP="001E10A2">
      <w:pPr>
        <w:spacing w:after="0" w:line="240" w:lineRule="auto"/>
      </w:pPr>
      <w:r>
        <w:continuationSeparator/>
      </w:r>
    </w:p>
  </w:footnote>
  <w:footnote w:id="1">
    <w:p w14:paraId="43544DF5" w14:textId="08D9FAB8" w:rsidR="006B44D8" w:rsidRDefault="006B44D8">
      <w:pPr>
        <w:pStyle w:val="FootnoteText"/>
      </w:pPr>
      <w:r>
        <w:rPr>
          <w:rStyle w:val="FootnoteReference"/>
        </w:rPr>
        <w:footnoteRef/>
      </w:r>
      <w:r>
        <w:t xml:space="preserve"> Elementary Teachers’ Federation of Ontario (2021).</w:t>
      </w:r>
      <w:r w:rsidRPr="00016A9B">
        <w:t xml:space="preserve"> </w:t>
      </w:r>
      <w:r>
        <w:rPr>
          <w:i/>
          <w:iCs/>
        </w:rPr>
        <w:t>Equity Statement</w:t>
      </w:r>
      <w:r w:rsidRPr="00006241">
        <w:rPr>
          <w:i/>
          <w:iCs/>
        </w:rPr>
        <w:t>.</w:t>
      </w:r>
      <w:r>
        <w:rPr>
          <w:i/>
          <w:iCs/>
        </w:rPr>
        <w:t xml:space="preserve"> </w:t>
      </w:r>
      <w:r>
        <w:t xml:space="preserve">Available at: </w:t>
      </w:r>
      <w:r w:rsidRPr="00DB073C">
        <w:t>etfo.ca/AboutETFO/Governance/pages/equitystatement.aspx</w:t>
      </w:r>
    </w:p>
  </w:footnote>
  <w:footnote w:id="2">
    <w:p w14:paraId="143F7B9C" w14:textId="703674BB" w:rsidR="006B44D8" w:rsidRPr="001A5A35" w:rsidRDefault="006B44D8">
      <w:pPr>
        <w:pStyle w:val="FootnoteText"/>
        <w:rPr>
          <w:lang w:val="en-US"/>
        </w:rPr>
      </w:pPr>
      <w:r>
        <w:rPr>
          <w:rStyle w:val="FootnoteReference"/>
        </w:rPr>
        <w:footnoteRef/>
      </w:r>
      <w:r>
        <w:t xml:space="preserve"> </w:t>
      </w:r>
      <w:r>
        <w:rPr>
          <w:lang w:val="en-US"/>
        </w:rPr>
        <w:t xml:space="preserve">(1) Shared and committed leadership by the ministry, boards, and schools to eliminate discrimination through the identification and removal of biases and barriers; (2) equity and inclusive education policies and practices to support positive learning environments that are respectful and welcoming for all; (3) accountability and transparency with ongoing progress demonstrated and communicated to the ministry and community (PPM 119, page 5). </w:t>
      </w:r>
    </w:p>
  </w:footnote>
  <w:footnote w:id="3">
    <w:p w14:paraId="6275CDB6" w14:textId="77777777" w:rsidR="006B44D8" w:rsidRPr="00457BED" w:rsidRDefault="006B44D8">
      <w:pPr>
        <w:pStyle w:val="FootnoteText"/>
        <w:rPr>
          <w:lang w:val="en-US"/>
        </w:rPr>
      </w:pPr>
      <w:r>
        <w:rPr>
          <w:rStyle w:val="FootnoteReference"/>
        </w:rPr>
        <w:footnoteRef/>
      </w:r>
      <w:r>
        <w:t xml:space="preserve"> </w:t>
      </w:r>
      <w:r>
        <w:rPr>
          <w:lang w:val="en-US"/>
        </w:rPr>
        <w:t>PPM 119, page 7</w:t>
      </w:r>
    </w:p>
  </w:footnote>
  <w:footnote w:id="4">
    <w:p w14:paraId="5C61A83D" w14:textId="2D7429B4" w:rsidR="006B44D8" w:rsidRDefault="006B44D8">
      <w:pPr>
        <w:pStyle w:val="FootnoteText"/>
      </w:pPr>
      <w:r>
        <w:rPr>
          <w:rStyle w:val="FootnoteReference"/>
        </w:rPr>
        <w:footnoteRef/>
      </w:r>
      <w:r>
        <w:t xml:space="preserve"> </w:t>
      </w:r>
      <w:r w:rsidRPr="00B5623C">
        <w:t xml:space="preserve">Truth and Reconciliation Commission of Canada. (2015). Truth </w:t>
      </w:r>
      <w:r>
        <w:t>and</w:t>
      </w:r>
      <w:r w:rsidRPr="00B5623C">
        <w:t xml:space="preserve"> </w:t>
      </w:r>
      <w:r>
        <w:t>R</w:t>
      </w:r>
      <w:r w:rsidRPr="00B5623C">
        <w:t>econciliation</w:t>
      </w:r>
      <w:r>
        <w:t xml:space="preserve"> Commission of Canada</w:t>
      </w:r>
      <w:r w:rsidRPr="00B5623C">
        <w:t>: Calls to action.</w:t>
      </w:r>
      <w:r>
        <w:t xml:space="preserve"> Available at: </w:t>
      </w:r>
      <w:r w:rsidRPr="00AD6142">
        <w:t>ehprnh2mwo3.exactdn.com/wp-content/uploads/2021/01/Calls_to_Action_English2.pdf</w:t>
      </w:r>
    </w:p>
  </w:footnote>
  <w:footnote w:id="5">
    <w:p w14:paraId="2980264C" w14:textId="77777777" w:rsidR="006B44D8" w:rsidRDefault="006B44D8">
      <w:pPr>
        <w:pStyle w:val="FootnoteText"/>
        <w:rPr>
          <w:lang w:val="en-US"/>
        </w:rPr>
      </w:pPr>
      <w:r>
        <w:rPr>
          <w:rStyle w:val="FootnoteReference"/>
        </w:rPr>
        <w:footnoteRef/>
      </w:r>
      <w:r>
        <w:t xml:space="preserve"> </w:t>
      </w:r>
      <w:r>
        <w:rPr>
          <w:lang w:val="en-US"/>
        </w:rPr>
        <w:t xml:space="preserve">Ontario Ministry of Education (2017). </w:t>
      </w:r>
      <w:r>
        <w:rPr>
          <w:i/>
          <w:iCs/>
          <w:lang w:val="en-US"/>
        </w:rPr>
        <w:t xml:space="preserve">Ontario’s Education Equity Action Plan. </w:t>
      </w:r>
      <w:r>
        <w:rPr>
          <w:lang w:val="en-US"/>
        </w:rPr>
        <w:t xml:space="preserve">Toronto, Ontario: Queen’s Printer for Ontario. </w:t>
      </w:r>
    </w:p>
    <w:p w14:paraId="3449E7EF" w14:textId="77777777" w:rsidR="006B44D8" w:rsidRPr="003D49EC" w:rsidRDefault="006B44D8">
      <w:pPr>
        <w:pStyle w:val="FootnoteText"/>
        <w:rPr>
          <w:lang w:val="en-US"/>
        </w:rPr>
      </w:pPr>
    </w:p>
  </w:footnote>
  <w:footnote w:id="6">
    <w:p w14:paraId="125389C1" w14:textId="77777777" w:rsidR="006B44D8" w:rsidRPr="003D49EC" w:rsidRDefault="006B44D8">
      <w:pPr>
        <w:pStyle w:val="FootnoteText"/>
        <w:rPr>
          <w:lang w:val="en-US"/>
        </w:rPr>
      </w:pPr>
      <w:r>
        <w:rPr>
          <w:rStyle w:val="FootnoteReference"/>
        </w:rPr>
        <w:footnoteRef/>
      </w:r>
      <w:r>
        <w:t xml:space="preserve"> </w:t>
      </w:r>
      <w:r>
        <w:rPr>
          <w:lang w:val="en-US"/>
        </w:rPr>
        <w:t xml:space="preserve">Ontario Ministry of Education (2017). </w:t>
      </w:r>
      <w:r>
        <w:rPr>
          <w:i/>
          <w:iCs/>
          <w:lang w:val="en-US"/>
        </w:rPr>
        <w:t xml:space="preserve">Ontario’s Education Equity Action Plan. </w:t>
      </w:r>
      <w:r>
        <w:rPr>
          <w:lang w:val="en-US"/>
        </w:rPr>
        <w:t>Toronto, Ontario: Queen’s Printer for Ontario. (pp. 28)</w:t>
      </w:r>
    </w:p>
  </w:footnote>
  <w:footnote w:id="7">
    <w:p w14:paraId="29D860FF" w14:textId="77777777" w:rsidR="006B44D8" w:rsidRPr="007849BB" w:rsidRDefault="006B44D8">
      <w:pPr>
        <w:pStyle w:val="FootnoteText"/>
        <w:rPr>
          <w:i/>
          <w:iCs/>
          <w:lang w:val="en-US"/>
        </w:rPr>
      </w:pPr>
      <w:r>
        <w:rPr>
          <w:rStyle w:val="FootnoteReference"/>
        </w:rPr>
        <w:footnoteRef/>
      </w:r>
      <w:r>
        <w:t xml:space="preserve"> </w:t>
      </w:r>
      <w:r>
        <w:rPr>
          <w:i/>
          <w:iCs/>
          <w:lang w:val="en-US"/>
        </w:rPr>
        <w:t xml:space="preserve">Include link to October 27, 2020 Joint Statement on Anti-Black and Anti-Indigenous Racism in Ontario’s Education System </w:t>
      </w:r>
    </w:p>
  </w:footnote>
  <w:footnote w:id="8">
    <w:p w14:paraId="235BFCEC" w14:textId="04EC6E21" w:rsidR="006B44D8" w:rsidRDefault="006B44D8">
      <w:pPr>
        <w:pStyle w:val="FootnoteText"/>
      </w:pPr>
      <w:r>
        <w:rPr>
          <w:rStyle w:val="FootnoteReference"/>
        </w:rPr>
        <w:footnoteRef/>
      </w:r>
      <w:r>
        <w:t xml:space="preserve"> See Appendix A.</w:t>
      </w:r>
    </w:p>
  </w:footnote>
  <w:footnote w:id="9">
    <w:p w14:paraId="6D0DCCBC" w14:textId="5C70B575" w:rsidR="006B44D8" w:rsidRDefault="006B44D8">
      <w:pPr>
        <w:pStyle w:val="FootnoteText"/>
      </w:pPr>
      <w:r>
        <w:rPr>
          <w:rStyle w:val="FootnoteReference"/>
        </w:rPr>
        <w:footnoteRef/>
      </w:r>
      <w:r>
        <w:t xml:space="preserve"> </w:t>
      </w:r>
      <w:r w:rsidRPr="00B5623C">
        <w:t>Truth and Reconciliation Commission of Canada., &amp; United Nations. (2015). Truth &amp; reconciliation: Calls to action</w:t>
      </w:r>
      <w:r>
        <w:t xml:space="preserve"> (pp. 1)</w:t>
      </w:r>
      <w:r w:rsidRPr="00B5623C">
        <w:t>.</w:t>
      </w:r>
      <w:r>
        <w:t xml:space="preserve"> Available at: </w:t>
      </w:r>
      <w:r w:rsidRPr="00AD6142">
        <w:t>ehprnh2mwo3.exactdn.com/wp-content/uploads/2021/01/Calls_to_Action_English2.pdf</w:t>
      </w:r>
    </w:p>
  </w:footnote>
  <w:footnote w:id="10">
    <w:p w14:paraId="547E364D" w14:textId="6AEE25E3" w:rsidR="006B44D8" w:rsidRDefault="006B44D8">
      <w:pPr>
        <w:pStyle w:val="FootnoteText"/>
      </w:pPr>
      <w:r>
        <w:rPr>
          <w:rStyle w:val="FootnoteReference"/>
        </w:rPr>
        <w:footnoteRef/>
      </w:r>
      <w:r>
        <w:t xml:space="preserve"> Toronto District School Board (2021), </w:t>
      </w:r>
      <w:r w:rsidRPr="00B573F1">
        <w:rPr>
          <w:i/>
          <w:iCs/>
        </w:rPr>
        <w:t>Human Rights Update: Annual Report 2018-2020</w:t>
      </w:r>
      <w:r>
        <w:t xml:space="preserve">. Available at: </w:t>
      </w:r>
      <w:r w:rsidRPr="00B573F1">
        <w:t>tdsb.on.ca/Portals/0/docs/HRO%20Report_March%202021.pdf</w:t>
      </w:r>
    </w:p>
  </w:footnote>
  <w:footnote w:id="11">
    <w:p w14:paraId="08F5F959" w14:textId="77777777" w:rsidR="006B44D8" w:rsidRDefault="006B44D8" w:rsidP="00D678BC">
      <w:pPr>
        <w:pStyle w:val="FootnoteText"/>
        <w:rPr>
          <w:lang w:val="en-US"/>
        </w:rPr>
      </w:pPr>
      <w:r>
        <w:rPr>
          <w:rStyle w:val="FootnoteReference"/>
        </w:rPr>
        <w:footnoteRef/>
      </w:r>
      <w:r>
        <w:t xml:space="preserve"> </w:t>
      </w:r>
      <w:r>
        <w:rPr>
          <w:lang w:val="en-US"/>
        </w:rPr>
        <w:t xml:space="preserve">HRTO applications: </w:t>
      </w:r>
    </w:p>
    <w:p w14:paraId="5F6B88D9" w14:textId="77777777" w:rsidR="006B44D8" w:rsidRDefault="006B44D8" w:rsidP="00D678BC">
      <w:pPr>
        <w:pStyle w:val="FootnoteText"/>
        <w:rPr>
          <w:lang w:val="en-US"/>
        </w:rPr>
      </w:pPr>
      <w:r>
        <w:rPr>
          <w:lang w:val="en-US"/>
        </w:rPr>
        <w:t>2016 – 25 (with 10 related to employment and 14 to goods/services)</w:t>
      </w:r>
    </w:p>
    <w:p w14:paraId="3B6DCB8B" w14:textId="77777777" w:rsidR="006B44D8" w:rsidRDefault="006B44D8" w:rsidP="00D678BC">
      <w:pPr>
        <w:pStyle w:val="FootnoteText"/>
        <w:rPr>
          <w:lang w:val="en-US"/>
        </w:rPr>
      </w:pPr>
      <w:r>
        <w:rPr>
          <w:lang w:val="en-US"/>
        </w:rPr>
        <w:t>2017 – 27 (with 16 related to employment and 11 to goods/services)</w:t>
      </w:r>
    </w:p>
    <w:p w14:paraId="7E265DBF" w14:textId="77777777" w:rsidR="006B44D8" w:rsidRDefault="006B44D8" w:rsidP="00D678BC">
      <w:pPr>
        <w:pStyle w:val="FootnoteText"/>
        <w:rPr>
          <w:lang w:val="en-US"/>
        </w:rPr>
      </w:pPr>
      <w:r>
        <w:rPr>
          <w:lang w:val="en-US"/>
        </w:rPr>
        <w:t xml:space="preserve">2018 – 31 (with 16 related to employment and 15 to goods/services) </w:t>
      </w:r>
    </w:p>
    <w:p w14:paraId="20E768D1" w14:textId="77777777" w:rsidR="006B44D8" w:rsidRPr="00066680" w:rsidRDefault="006B44D8" w:rsidP="00D678BC">
      <w:pPr>
        <w:pStyle w:val="FootnoteText"/>
        <w:rPr>
          <w:lang w:val="en-US"/>
        </w:rPr>
      </w:pPr>
      <w:r>
        <w:rPr>
          <w:lang w:val="en-US"/>
        </w:rPr>
        <w:t>2019 – 25 (with 11 related to employment and 14 related to goods/services)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5341" w14:textId="77777777" w:rsidR="006B44D8" w:rsidRDefault="006B44D8" w:rsidP="001E10A2">
    <w:pPr>
      <w:pStyle w:val="Header"/>
      <w:ind w:left="-142"/>
    </w:pPr>
    <w:r>
      <w:rPr>
        <w:noProof/>
        <w:lang w:eastAsia="en-CA"/>
      </w:rPr>
      <mc:AlternateContent>
        <mc:Choice Requires="wps">
          <w:drawing>
            <wp:inline distT="0" distB="0" distL="0" distR="0" wp14:anchorId="43615810" wp14:editId="0E464008">
              <wp:extent cx="7942521" cy="691116"/>
              <wp:effectExtent l="0" t="0" r="20955" b="13970"/>
              <wp:docPr id="5" name="Rectangle 5"/>
              <wp:cNvGraphicFramePr/>
              <a:graphic xmlns:a="http://schemas.openxmlformats.org/drawingml/2006/main">
                <a:graphicData uri="http://schemas.microsoft.com/office/word/2010/wordprocessingShape">
                  <wps:wsp>
                    <wps:cNvSpPr/>
                    <wps:spPr>
                      <a:xfrm>
                        <a:off x="0" y="0"/>
                        <a:ext cx="7942521" cy="691116"/>
                      </a:xfrm>
                      <a:prstGeom prst="rect">
                        <a:avLst/>
                      </a:prstGeom>
                      <a:solidFill>
                        <a:srgbClr val="7B5AC4"/>
                      </a:solidFill>
                      <a:ln>
                        <a:solidFill>
                          <a:srgbClr val="7B5AC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044B0" w14:textId="77777777" w:rsidR="006B44D8" w:rsidRPr="004A4914" w:rsidRDefault="006B44D8" w:rsidP="005E1FF0">
                          <w:pPr>
                            <w:spacing w:after="120"/>
                            <w:ind w:left="1440"/>
                            <w:rPr>
                              <w:sz w:val="28"/>
                              <w:szCs w:val="28"/>
                            </w:rPr>
                          </w:pPr>
                          <w:r w:rsidRPr="004A4914">
                            <w:rPr>
                              <w:sz w:val="28"/>
                              <w:szCs w:val="28"/>
                            </w:rPr>
                            <w:t xml:space="preserve">ETFO Submission re Bill 48, </w:t>
                          </w:r>
                          <w:r w:rsidRPr="005E1FF0">
                            <w:rPr>
                              <w:i/>
                              <w:sz w:val="28"/>
                              <w:szCs w:val="28"/>
                            </w:rPr>
                            <w:t>Safe and Supportive Classrooms Act, 2018</w:t>
                          </w:r>
                          <w:r w:rsidRPr="004A4914">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615810" id="Rectangle 5" o:spid="_x0000_s1026" style="width:625.4pt;height:5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4R6nAIAALkFAAAOAAAAZHJzL2Uyb0RvYy54bWysVE1v2zAMvQ/YfxB0Xx0HSbsGdYosRYcB&#10;RVe0HXpWZCkxIIsapcTOfv0o+aNdV+xQLAeFEslH8pnkxWVbG3ZQ6CuwBc9PJpwpK6Gs7LbgPx6v&#10;P33mzAdhS2HAqoIfleeXy48fLhq3UFPYgSkVMgKxftG4gu9CcIss83KnauFPwClLSg1Yi0BX3GYl&#10;iobQa5NNJ5PTrAEsHYJU3tPrVafky4SvtZLhu9ZeBWYKTrmFdGI6N/HMlhdisUXhdpXs0xDvyKIW&#10;laWgI9SVCILtsfoLqq4kggcdTiTUGWhdSZVqoGryyatqHnbCqVQLkePdSJP/f7Dy9nCHrCoLPufM&#10;ipo+0T2RJuzWKDaP9DTOL8jqwd1hf/MkxlpbjXX8pypYmyg9jpSqNjBJj2fns+l8mnMmSXd6nuf5&#10;aQTNnr0d+vBVQc2iUHCk6IlJcbjxoTMdTGIwD6Yqrytj0gW3m7VBdhD0ec++zFfrWY/+h5mx7/Ok&#10;LKNrFinoik5SOBoVAY29V5q4ozKnKeXUtWpMSEipbMg71U6UqstzPqHfkGbs8+iRKEmAEVlTfSN2&#10;DzBYdiADdkdQbx9dVWr60Xnyr8Q659EjRQYbRue6soBvARiqqo/c2Q8kddRElkK7ackkihsoj9Rk&#10;CN30eSevK/rWN8KHO4E0bjSYtELCdzq0gabg0Euc7QB/vfUe7WkKSMtZQ+NbcP9zL1BxZr5Zmo/z&#10;fDaL854us/nZlC74UrN5qbH7eg3UQtSnlF0So30wg6gR6ifaNKsYlVTCSopdcBlwuKxDt1ZoV0m1&#10;WiUzmnEnwo19cDKCR4JjLz+2TwJd3/CBRuUWhlEXi1d939lGTwurfQBdpaF45rWnnvZD6qF+l8UF&#10;9PKerJ437vI3AAAA//8DAFBLAwQUAAYACAAAACEAaYEjINwAAAAGAQAADwAAAGRycy9kb3ducmV2&#10;LnhtbEyPwU7DMBBE70j8g7VI3KjdSpQQ4lQREpU4EoLUoxtv7Yh4HWKnDXw9Lhd6We1qRrNvis3s&#10;enbEMXSeJCwXAhhS63VHRkLz/nKXAQtRkVa9J5TwjQE25fVVoXLtT/SGxzoalkIo5EqCjXHIOQ+t&#10;RafCwg9ISTv40amYztFwPapTCnc9Xwmx5k51lD5YNeCzxfaznpyE9eNP9bH72jV2uT3UU2PM9uG1&#10;kvL2Zq6egEWc478ZzvgJHcrEtPcT6cB6CalI/JtnbXUvUo992kSWAS8Lfolf/gIAAP//AwBQSwEC&#10;LQAUAAYACAAAACEAtoM4kv4AAADhAQAAEwAAAAAAAAAAAAAAAAAAAAAAW0NvbnRlbnRfVHlwZXNd&#10;LnhtbFBLAQItABQABgAIAAAAIQA4/SH/1gAAAJQBAAALAAAAAAAAAAAAAAAAAC8BAABfcmVscy8u&#10;cmVsc1BLAQItABQABgAIAAAAIQA9G4R6nAIAALkFAAAOAAAAAAAAAAAAAAAAAC4CAABkcnMvZTJv&#10;RG9jLnhtbFBLAQItABQABgAIAAAAIQBpgSMg3AAAAAYBAAAPAAAAAAAAAAAAAAAAAPYEAABkcnMv&#10;ZG93bnJldi54bWxQSwUGAAAAAAQABADzAAAA/wUAAAAA&#10;" fillcolor="#7b5ac4" strokecolor="#7b5ac4" strokeweight="2pt">
              <v:textbox>
                <w:txbxContent>
                  <w:p w14:paraId="207044B0" w14:textId="77777777" w:rsidR="006B44D8" w:rsidRPr="004A4914" w:rsidRDefault="006B44D8" w:rsidP="005E1FF0">
                    <w:pPr>
                      <w:spacing w:after="120"/>
                      <w:ind w:left="1440"/>
                      <w:rPr>
                        <w:sz w:val="28"/>
                        <w:szCs w:val="28"/>
                      </w:rPr>
                    </w:pPr>
                    <w:r w:rsidRPr="004A4914">
                      <w:rPr>
                        <w:sz w:val="28"/>
                        <w:szCs w:val="28"/>
                      </w:rPr>
                      <w:t xml:space="preserve">ETFO Submission re Bill 48, </w:t>
                    </w:r>
                    <w:r w:rsidRPr="005E1FF0">
                      <w:rPr>
                        <w:i/>
                        <w:sz w:val="28"/>
                        <w:szCs w:val="28"/>
                      </w:rPr>
                      <w:t>Safe and Supportive Classrooms Act, 2018</w:t>
                    </w:r>
                    <w:r w:rsidRPr="004A4914">
                      <w:rPr>
                        <w:sz w:val="28"/>
                        <w:szCs w:val="28"/>
                      </w:rPr>
                      <w:t xml:space="preserve"> </w:t>
                    </w: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7CE" w14:textId="77777777" w:rsidR="00125FEC" w:rsidRPr="002714C6" w:rsidRDefault="00125FEC" w:rsidP="00125FEC">
    <w:pPr>
      <w:spacing w:after="120"/>
      <w:jc w:val="right"/>
      <w:rPr>
        <w:rFonts w:ascii="Arial" w:hAnsi="Arial" w:cs="Arial"/>
        <w:sz w:val="20"/>
        <w:szCs w:val="20"/>
      </w:rPr>
    </w:pPr>
  </w:p>
  <w:p w14:paraId="16189E6F" w14:textId="08B9DC57" w:rsidR="006B44D8" w:rsidRPr="002714C6" w:rsidRDefault="00125FEC" w:rsidP="00125FEC">
    <w:pPr>
      <w:spacing w:after="120"/>
      <w:jc w:val="right"/>
    </w:pPr>
    <w:r w:rsidRPr="002714C6">
      <w:rPr>
        <w:rFonts w:ascii="Arial" w:hAnsi="Arial" w:cs="Arial"/>
        <w:sz w:val="20"/>
        <w:szCs w:val="20"/>
      </w:rPr>
      <w:t xml:space="preserve">ETFO Submission – Human Rights Complaint Procedures in Ontario School Boards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BF0D" w14:textId="77777777" w:rsidR="006B44D8" w:rsidRDefault="006B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98CE8D9E"/>
    <w:lvl w:ilvl="0" w:tplc="8EE67F0A">
      <w:start w:val="1"/>
      <w:numFmt w:val="decimal"/>
      <w:pStyle w:val="Recco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21ADE"/>
    <w:multiLevelType w:val="hybridMultilevel"/>
    <w:tmpl w:val="E270A2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2B77A5"/>
    <w:multiLevelType w:val="hybridMultilevel"/>
    <w:tmpl w:val="A6824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B0E22F9"/>
    <w:multiLevelType w:val="hybridMultilevel"/>
    <w:tmpl w:val="BD1A2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E53"/>
    <w:rsid w:val="00001B8F"/>
    <w:rsid w:val="0000349F"/>
    <w:rsid w:val="00003952"/>
    <w:rsid w:val="00004E5B"/>
    <w:rsid w:val="000061C0"/>
    <w:rsid w:val="00006B08"/>
    <w:rsid w:val="00007877"/>
    <w:rsid w:val="00007AF4"/>
    <w:rsid w:val="000108CD"/>
    <w:rsid w:val="00010925"/>
    <w:rsid w:val="00010B8D"/>
    <w:rsid w:val="00010C6B"/>
    <w:rsid w:val="00011560"/>
    <w:rsid w:val="00011F43"/>
    <w:rsid w:val="00012E99"/>
    <w:rsid w:val="0001318D"/>
    <w:rsid w:val="00013ECB"/>
    <w:rsid w:val="00014CF3"/>
    <w:rsid w:val="000154FD"/>
    <w:rsid w:val="00015F33"/>
    <w:rsid w:val="00016206"/>
    <w:rsid w:val="00017C15"/>
    <w:rsid w:val="00017ED4"/>
    <w:rsid w:val="00020BC6"/>
    <w:rsid w:val="00021296"/>
    <w:rsid w:val="0002174C"/>
    <w:rsid w:val="0002176A"/>
    <w:rsid w:val="00023692"/>
    <w:rsid w:val="000237C7"/>
    <w:rsid w:val="00023E9E"/>
    <w:rsid w:val="00024BC8"/>
    <w:rsid w:val="000255A2"/>
    <w:rsid w:val="00026A74"/>
    <w:rsid w:val="00026EC5"/>
    <w:rsid w:val="00030382"/>
    <w:rsid w:val="000303B0"/>
    <w:rsid w:val="00031BCC"/>
    <w:rsid w:val="00032388"/>
    <w:rsid w:val="0003265A"/>
    <w:rsid w:val="00032CBF"/>
    <w:rsid w:val="000333FA"/>
    <w:rsid w:val="0003465F"/>
    <w:rsid w:val="00035249"/>
    <w:rsid w:val="000354D1"/>
    <w:rsid w:val="000357C4"/>
    <w:rsid w:val="0003646E"/>
    <w:rsid w:val="00036E02"/>
    <w:rsid w:val="0003766B"/>
    <w:rsid w:val="00037F85"/>
    <w:rsid w:val="00040734"/>
    <w:rsid w:val="00041EE7"/>
    <w:rsid w:val="000421EA"/>
    <w:rsid w:val="00042A1A"/>
    <w:rsid w:val="00042E8A"/>
    <w:rsid w:val="00043BDA"/>
    <w:rsid w:val="00043E02"/>
    <w:rsid w:val="00045393"/>
    <w:rsid w:val="00045BEE"/>
    <w:rsid w:val="00045E57"/>
    <w:rsid w:val="000463AD"/>
    <w:rsid w:val="000471CD"/>
    <w:rsid w:val="0004760B"/>
    <w:rsid w:val="0004778A"/>
    <w:rsid w:val="0004787A"/>
    <w:rsid w:val="00047D17"/>
    <w:rsid w:val="00047F92"/>
    <w:rsid w:val="00050447"/>
    <w:rsid w:val="000504DB"/>
    <w:rsid w:val="00050976"/>
    <w:rsid w:val="00051162"/>
    <w:rsid w:val="0005244F"/>
    <w:rsid w:val="00052AD2"/>
    <w:rsid w:val="000547F0"/>
    <w:rsid w:val="00055E4B"/>
    <w:rsid w:val="000561A2"/>
    <w:rsid w:val="000563A2"/>
    <w:rsid w:val="00056A9E"/>
    <w:rsid w:val="00057060"/>
    <w:rsid w:val="00060164"/>
    <w:rsid w:val="000602E9"/>
    <w:rsid w:val="00060826"/>
    <w:rsid w:val="00061D39"/>
    <w:rsid w:val="000648FA"/>
    <w:rsid w:val="000658BC"/>
    <w:rsid w:val="0006671F"/>
    <w:rsid w:val="00066807"/>
    <w:rsid w:val="00066C7E"/>
    <w:rsid w:val="00067186"/>
    <w:rsid w:val="00067376"/>
    <w:rsid w:val="0006755E"/>
    <w:rsid w:val="00067FE3"/>
    <w:rsid w:val="00070639"/>
    <w:rsid w:val="00071491"/>
    <w:rsid w:val="00071B79"/>
    <w:rsid w:val="000725EE"/>
    <w:rsid w:val="00072741"/>
    <w:rsid w:val="0007464D"/>
    <w:rsid w:val="000749E7"/>
    <w:rsid w:val="00075F59"/>
    <w:rsid w:val="0007641B"/>
    <w:rsid w:val="000771D3"/>
    <w:rsid w:val="000811F3"/>
    <w:rsid w:val="00081242"/>
    <w:rsid w:val="000837B3"/>
    <w:rsid w:val="000848BB"/>
    <w:rsid w:val="00084B7D"/>
    <w:rsid w:val="000852FB"/>
    <w:rsid w:val="00085AF6"/>
    <w:rsid w:val="00085DE2"/>
    <w:rsid w:val="000860C6"/>
    <w:rsid w:val="00086445"/>
    <w:rsid w:val="000869D9"/>
    <w:rsid w:val="00086E2B"/>
    <w:rsid w:val="00086E2E"/>
    <w:rsid w:val="00086EFC"/>
    <w:rsid w:val="0008703C"/>
    <w:rsid w:val="00090042"/>
    <w:rsid w:val="00090BBB"/>
    <w:rsid w:val="00090D9F"/>
    <w:rsid w:val="00091D2E"/>
    <w:rsid w:val="000925E8"/>
    <w:rsid w:val="00092BF2"/>
    <w:rsid w:val="000935CE"/>
    <w:rsid w:val="00093A1C"/>
    <w:rsid w:val="0009408D"/>
    <w:rsid w:val="000946DE"/>
    <w:rsid w:val="00095A68"/>
    <w:rsid w:val="00095AA6"/>
    <w:rsid w:val="00095EAC"/>
    <w:rsid w:val="0009626A"/>
    <w:rsid w:val="00096757"/>
    <w:rsid w:val="000968B8"/>
    <w:rsid w:val="00096A53"/>
    <w:rsid w:val="00096EE6"/>
    <w:rsid w:val="00097513"/>
    <w:rsid w:val="000A15EA"/>
    <w:rsid w:val="000A1788"/>
    <w:rsid w:val="000A1AC5"/>
    <w:rsid w:val="000A1B21"/>
    <w:rsid w:val="000A1DC5"/>
    <w:rsid w:val="000A29BF"/>
    <w:rsid w:val="000A3956"/>
    <w:rsid w:val="000A5056"/>
    <w:rsid w:val="000A56D9"/>
    <w:rsid w:val="000A5D56"/>
    <w:rsid w:val="000A6D68"/>
    <w:rsid w:val="000A704A"/>
    <w:rsid w:val="000A7749"/>
    <w:rsid w:val="000B0D45"/>
    <w:rsid w:val="000B13C3"/>
    <w:rsid w:val="000B1F6C"/>
    <w:rsid w:val="000B24E9"/>
    <w:rsid w:val="000B26CC"/>
    <w:rsid w:val="000B2D05"/>
    <w:rsid w:val="000B3F6B"/>
    <w:rsid w:val="000B3FDA"/>
    <w:rsid w:val="000B4215"/>
    <w:rsid w:val="000B42E6"/>
    <w:rsid w:val="000B45F7"/>
    <w:rsid w:val="000B53D7"/>
    <w:rsid w:val="000B64C5"/>
    <w:rsid w:val="000B6763"/>
    <w:rsid w:val="000B75A4"/>
    <w:rsid w:val="000C125A"/>
    <w:rsid w:val="000C12D3"/>
    <w:rsid w:val="000C12FA"/>
    <w:rsid w:val="000C2D4B"/>
    <w:rsid w:val="000C2DF4"/>
    <w:rsid w:val="000C2E2C"/>
    <w:rsid w:val="000C4276"/>
    <w:rsid w:val="000C44EE"/>
    <w:rsid w:val="000C46F8"/>
    <w:rsid w:val="000C4C4E"/>
    <w:rsid w:val="000C4E17"/>
    <w:rsid w:val="000C578C"/>
    <w:rsid w:val="000C629B"/>
    <w:rsid w:val="000C63D8"/>
    <w:rsid w:val="000C69F3"/>
    <w:rsid w:val="000C717F"/>
    <w:rsid w:val="000D1346"/>
    <w:rsid w:val="000D1A4E"/>
    <w:rsid w:val="000D1A5C"/>
    <w:rsid w:val="000D1B19"/>
    <w:rsid w:val="000D365D"/>
    <w:rsid w:val="000D420B"/>
    <w:rsid w:val="000D424D"/>
    <w:rsid w:val="000D4313"/>
    <w:rsid w:val="000D4D3A"/>
    <w:rsid w:val="000D55D3"/>
    <w:rsid w:val="000D5F86"/>
    <w:rsid w:val="000D73F0"/>
    <w:rsid w:val="000D7FFC"/>
    <w:rsid w:val="000E0400"/>
    <w:rsid w:val="000E3750"/>
    <w:rsid w:val="000E3B89"/>
    <w:rsid w:val="000E3FF8"/>
    <w:rsid w:val="000E54E7"/>
    <w:rsid w:val="000E574E"/>
    <w:rsid w:val="000E75B9"/>
    <w:rsid w:val="000E7C44"/>
    <w:rsid w:val="000F02B2"/>
    <w:rsid w:val="000F1AD7"/>
    <w:rsid w:val="000F3682"/>
    <w:rsid w:val="000F4583"/>
    <w:rsid w:val="000F47EC"/>
    <w:rsid w:val="000F5001"/>
    <w:rsid w:val="000F5788"/>
    <w:rsid w:val="000F583E"/>
    <w:rsid w:val="000F60AA"/>
    <w:rsid w:val="000F617D"/>
    <w:rsid w:val="000F6286"/>
    <w:rsid w:val="000F6403"/>
    <w:rsid w:val="000F67E0"/>
    <w:rsid w:val="000F6CAB"/>
    <w:rsid w:val="000F70A7"/>
    <w:rsid w:val="000F70E2"/>
    <w:rsid w:val="000F7D10"/>
    <w:rsid w:val="00100567"/>
    <w:rsid w:val="00100B9D"/>
    <w:rsid w:val="00101534"/>
    <w:rsid w:val="00102429"/>
    <w:rsid w:val="001025E2"/>
    <w:rsid w:val="001026CF"/>
    <w:rsid w:val="00103252"/>
    <w:rsid w:val="00103759"/>
    <w:rsid w:val="001047E7"/>
    <w:rsid w:val="001049A4"/>
    <w:rsid w:val="00105199"/>
    <w:rsid w:val="00105912"/>
    <w:rsid w:val="00105AD7"/>
    <w:rsid w:val="00105E64"/>
    <w:rsid w:val="00107D39"/>
    <w:rsid w:val="001105BC"/>
    <w:rsid w:val="00112D67"/>
    <w:rsid w:val="00112F3C"/>
    <w:rsid w:val="00113382"/>
    <w:rsid w:val="00113777"/>
    <w:rsid w:val="001145E4"/>
    <w:rsid w:val="0011623F"/>
    <w:rsid w:val="001169DC"/>
    <w:rsid w:val="00116F6D"/>
    <w:rsid w:val="001177FD"/>
    <w:rsid w:val="001207BC"/>
    <w:rsid w:val="00120B73"/>
    <w:rsid w:val="00121135"/>
    <w:rsid w:val="00121C71"/>
    <w:rsid w:val="00121D78"/>
    <w:rsid w:val="00122157"/>
    <w:rsid w:val="001225E2"/>
    <w:rsid w:val="00123498"/>
    <w:rsid w:val="0012370F"/>
    <w:rsid w:val="00123D46"/>
    <w:rsid w:val="00123FB3"/>
    <w:rsid w:val="00124C53"/>
    <w:rsid w:val="00125044"/>
    <w:rsid w:val="001254C3"/>
    <w:rsid w:val="00125AA2"/>
    <w:rsid w:val="00125FEC"/>
    <w:rsid w:val="001266D4"/>
    <w:rsid w:val="00126CDC"/>
    <w:rsid w:val="001270A9"/>
    <w:rsid w:val="0013033A"/>
    <w:rsid w:val="001316F7"/>
    <w:rsid w:val="00131AEA"/>
    <w:rsid w:val="001323FC"/>
    <w:rsid w:val="001336F4"/>
    <w:rsid w:val="001339CA"/>
    <w:rsid w:val="00133F88"/>
    <w:rsid w:val="0013489C"/>
    <w:rsid w:val="00134F7F"/>
    <w:rsid w:val="0013591D"/>
    <w:rsid w:val="001366DD"/>
    <w:rsid w:val="0013727D"/>
    <w:rsid w:val="00137886"/>
    <w:rsid w:val="00137F26"/>
    <w:rsid w:val="001401FE"/>
    <w:rsid w:val="00140670"/>
    <w:rsid w:val="001409AD"/>
    <w:rsid w:val="00140A0A"/>
    <w:rsid w:val="00140AF2"/>
    <w:rsid w:val="00140DD3"/>
    <w:rsid w:val="001416A5"/>
    <w:rsid w:val="001419C9"/>
    <w:rsid w:val="00141BAC"/>
    <w:rsid w:val="001420B1"/>
    <w:rsid w:val="001426CF"/>
    <w:rsid w:val="00143439"/>
    <w:rsid w:val="00144075"/>
    <w:rsid w:val="001441B0"/>
    <w:rsid w:val="00144657"/>
    <w:rsid w:val="001453A4"/>
    <w:rsid w:val="00145476"/>
    <w:rsid w:val="00145E37"/>
    <w:rsid w:val="00146394"/>
    <w:rsid w:val="001465C0"/>
    <w:rsid w:val="00146D47"/>
    <w:rsid w:val="00146DEF"/>
    <w:rsid w:val="00147F15"/>
    <w:rsid w:val="00147F36"/>
    <w:rsid w:val="001502C6"/>
    <w:rsid w:val="00150694"/>
    <w:rsid w:val="0015119C"/>
    <w:rsid w:val="00153A3A"/>
    <w:rsid w:val="00154887"/>
    <w:rsid w:val="00155B38"/>
    <w:rsid w:val="0015718E"/>
    <w:rsid w:val="0016019B"/>
    <w:rsid w:val="0016030E"/>
    <w:rsid w:val="00160373"/>
    <w:rsid w:val="00160FEA"/>
    <w:rsid w:val="001611C1"/>
    <w:rsid w:val="00162682"/>
    <w:rsid w:val="00162740"/>
    <w:rsid w:val="00162BE6"/>
    <w:rsid w:val="00163BAA"/>
    <w:rsid w:val="001642AF"/>
    <w:rsid w:val="00166480"/>
    <w:rsid w:val="00166A6C"/>
    <w:rsid w:val="00167D19"/>
    <w:rsid w:val="0017228C"/>
    <w:rsid w:val="001729C3"/>
    <w:rsid w:val="00172BD2"/>
    <w:rsid w:val="00173561"/>
    <w:rsid w:val="00175549"/>
    <w:rsid w:val="00175954"/>
    <w:rsid w:val="0017622F"/>
    <w:rsid w:val="00176E97"/>
    <w:rsid w:val="001776BA"/>
    <w:rsid w:val="00177808"/>
    <w:rsid w:val="00177A73"/>
    <w:rsid w:val="00180AC4"/>
    <w:rsid w:val="0018150A"/>
    <w:rsid w:val="001822A4"/>
    <w:rsid w:val="00182B7F"/>
    <w:rsid w:val="00183104"/>
    <w:rsid w:val="0018467E"/>
    <w:rsid w:val="00184D7B"/>
    <w:rsid w:val="00184F45"/>
    <w:rsid w:val="00184FD5"/>
    <w:rsid w:val="00185235"/>
    <w:rsid w:val="001854F7"/>
    <w:rsid w:val="00185A38"/>
    <w:rsid w:val="00186079"/>
    <w:rsid w:val="00186423"/>
    <w:rsid w:val="00186D02"/>
    <w:rsid w:val="00187579"/>
    <w:rsid w:val="001903FA"/>
    <w:rsid w:val="00190591"/>
    <w:rsid w:val="0019073F"/>
    <w:rsid w:val="00190F46"/>
    <w:rsid w:val="0019119E"/>
    <w:rsid w:val="001916EE"/>
    <w:rsid w:val="00192880"/>
    <w:rsid w:val="00192FBC"/>
    <w:rsid w:val="0019312A"/>
    <w:rsid w:val="00193357"/>
    <w:rsid w:val="00193EEC"/>
    <w:rsid w:val="001941CE"/>
    <w:rsid w:val="00194C27"/>
    <w:rsid w:val="00195A9A"/>
    <w:rsid w:val="001976CB"/>
    <w:rsid w:val="001977DC"/>
    <w:rsid w:val="001A0132"/>
    <w:rsid w:val="001A04A3"/>
    <w:rsid w:val="001A2E8A"/>
    <w:rsid w:val="001A2ED0"/>
    <w:rsid w:val="001A30A0"/>
    <w:rsid w:val="001A33AE"/>
    <w:rsid w:val="001A33DA"/>
    <w:rsid w:val="001A54DC"/>
    <w:rsid w:val="001A57F9"/>
    <w:rsid w:val="001A58C3"/>
    <w:rsid w:val="001A5A35"/>
    <w:rsid w:val="001A60DB"/>
    <w:rsid w:val="001A6812"/>
    <w:rsid w:val="001A7567"/>
    <w:rsid w:val="001A7735"/>
    <w:rsid w:val="001A7CAD"/>
    <w:rsid w:val="001B0B3B"/>
    <w:rsid w:val="001B0FB4"/>
    <w:rsid w:val="001B1237"/>
    <w:rsid w:val="001B23A7"/>
    <w:rsid w:val="001B31EA"/>
    <w:rsid w:val="001B3464"/>
    <w:rsid w:val="001B54EC"/>
    <w:rsid w:val="001B6031"/>
    <w:rsid w:val="001B665C"/>
    <w:rsid w:val="001B75A7"/>
    <w:rsid w:val="001B7819"/>
    <w:rsid w:val="001B7B0E"/>
    <w:rsid w:val="001C055B"/>
    <w:rsid w:val="001C0F99"/>
    <w:rsid w:val="001C1FCA"/>
    <w:rsid w:val="001C25AA"/>
    <w:rsid w:val="001C2C27"/>
    <w:rsid w:val="001C443F"/>
    <w:rsid w:val="001C50B1"/>
    <w:rsid w:val="001C5BE3"/>
    <w:rsid w:val="001C61CB"/>
    <w:rsid w:val="001C6619"/>
    <w:rsid w:val="001D0006"/>
    <w:rsid w:val="001D0212"/>
    <w:rsid w:val="001D19B9"/>
    <w:rsid w:val="001D1BA3"/>
    <w:rsid w:val="001D210A"/>
    <w:rsid w:val="001D2786"/>
    <w:rsid w:val="001D394B"/>
    <w:rsid w:val="001D6247"/>
    <w:rsid w:val="001D718D"/>
    <w:rsid w:val="001D762D"/>
    <w:rsid w:val="001E0AED"/>
    <w:rsid w:val="001E10A2"/>
    <w:rsid w:val="001E1617"/>
    <w:rsid w:val="001E1A84"/>
    <w:rsid w:val="001E1F3A"/>
    <w:rsid w:val="001E2843"/>
    <w:rsid w:val="001E2BD4"/>
    <w:rsid w:val="001E2E78"/>
    <w:rsid w:val="001E3A66"/>
    <w:rsid w:val="001E3DE8"/>
    <w:rsid w:val="001E42EE"/>
    <w:rsid w:val="001E4665"/>
    <w:rsid w:val="001E58F2"/>
    <w:rsid w:val="001E5933"/>
    <w:rsid w:val="001E5F6D"/>
    <w:rsid w:val="001E634B"/>
    <w:rsid w:val="001E6370"/>
    <w:rsid w:val="001E6E50"/>
    <w:rsid w:val="001E786F"/>
    <w:rsid w:val="001E7FF7"/>
    <w:rsid w:val="001F07BD"/>
    <w:rsid w:val="001F0BD8"/>
    <w:rsid w:val="001F0E84"/>
    <w:rsid w:val="001F103A"/>
    <w:rsid w:val="001F190A"/>
    <w:rsid w:val="001F2541"/>
    <w:rsid w:val="001F268D"/>
    <w:rsid w:val="001F564B"/>
    <w:rsid w:val="001F5767"/>
    <w:rsid w:val="001F6B70"/>
    <w:rsid w:val="00201547"/>
    <w:rsid w:val="00202303"/>
    <w:rsid w:val="00202C65"/>
    <w:rsid w:val="002056E9"/>
    <w:rsid w:val="00205B35"/>
    <w:rsid w:val="0020694D"/>
    <w:rsid w:val="00207E85"/>
    <w:rsid w:val="00210355"/>
    <w:rsid w:val="00210466"/>
    <w:rsid w:val="00210978"/>
    <w:rsid w:val="00210ED0"/>
    <w:rsid w:val="00211640"/>
    <w:rsid w:val="00211834"/>
    <w:rsid w:val="00212ED0"/>
    <w:rsid w:val="0021382C"/>
    <w:rsid w:val="00213A0F"/>
    <w:rsid w:val="00213FD5"/>
    <w:rsid w:val="0021643F"/>
    <w:rsid w:val="00216E32"/>
    <w:rsid w:val="00216E8E"/>
    <w:rsid w:val="0021778C"/>
    <w:rsid w:val="0021780F"/>
    <w:rsid w:val="00217827"/>
    <w:rsid w:val="0022010B"/>
    <w:rsid w:val="00220DFC"/>
    <w:rsid w:val="0022118A"/>
    <w:rsid w:val="00222560"/>
    <w:rsid w:val="0022292E"/>
    <w:rsid w:val="00223CD3"/>
    <w:rsid w:val="0022480F"/>
    <w:rsid w:val="00224BD5"/>
    <w:rsid w:val="00224D95"/>
    <w:rsid w:val="0022505B"/>
    <w:rsid w:val="0022531C"/>
    <w:rsid w:val="00225E04"/>
    <w:rsid w:val="00226E67"/>
    <w:rsid w:val="0022725D"/>
    <w:rsid w:val="00227339"/>
    <w:rsid w:val="0023044C"/>
    <w:rsid w:val="00230B3E"/>
    <w:rsid w:val="00230E2E"/>
    <w:rsid w:val="0023104C"/>
    <w:rsid w:val="00231242"/>
    <w:rsid w:val="002313A0"/>
    <w:rsid w:val="0023173E"/>
    <w:rsid w:val="002318EE"/>
    <w:rsid w:val="00231D89"/>
    <w:rsid w:val="002333D1"/>
    <w:rsid w:val="00233BA4"/>
    <w:rsid w:val="00233EA4"/>
    <w:rsid w:val="0023416A"/>
    <w:rsid w:val="0023529D"/>
    <w:rsid w:val="00235AAF"/>
    <w:rsid w:val="00237306"/>
    <w:rsid w:val="0023736C"/>
    <w:rsid w:val="00237A73"/>
    <w:rsid w:val="00240387"/>
    <w:rsid w:val="00241B75"/>
    <w:rsid w:val="002423A9"/>
    <w:rsid w:val="00242463"/>
    <w:rsid w:val="00242536"/>
    <w:rsid w:val="002445BB"/>
    <w:rsid w:val="00244619"/>
    <w:rsid w:val="002446EA"/>
    <w:rsid w:val="00244E57"/>
    <w:rsid w:val="0024565A"/>
    <w:rsid w:val="0024616E"/>
    <w:rsid w:val="0024714D"/>
    <w:rsid w:val="00250407"/>
    <w:rsid w:val="002513AB"/>
    <w:rsid w:val="00252207"/>
    <w:rsid w:val="00252CC8"/>
    <w:rsid w:val="002537A1"/>
    <w:rsid w:val="00254C21"/>
    <w:rsid w:val="00254C36"/>
    <w:rsid w:val="00255A8D"/>
    <w:rsid w:val="00256C54"/>
    <w:rsid w:val="00261FEF"/>
    <w:rsid w:val="00262299"/>
    <w:rsid w:val="0026269E"/>
    <w:rsid w:val="00263D83"/>
    <w:rsid w:val="002656D5"/>
    <w:rsid w:val="002659F4"/>
    <w:rsid w:val="00270806"/>
    <w:rsid w:val="002714C6"/>
    <w:rsid w:val="0027327C"/>
    <w:rsid w:val="00274ABC"/>
    <w:rsid w:val="0027547C"/>
    <w:rsid w:val="00275A7D"/>
    <w:rsid w:val="00275C7A"/>
    <w:rsid w:val="002767BA"/>
    <w:rsid w:val="0027735D"/>
    <w:rsid w:val="00277509"/>
    <w:rsid w:val="00277B17"/>
    <w:rsid w:val="002801A8"/>
    <w:rsid w:val="00280551"/>
    <w:rsid w:val="00280914"/>
    <w:rsid w:val="00280E4F"/>
    <w:rsid w:val="00280EB6"/>
    <w:rsid w:val="002816F8"/>
    <w:rsid w:val="002818B7"/>
    <w:rsid w:val="002826E8"/>
    <w:rsid w:val="00282C96"/>
    <w:rsid w:val="00283107"/>
    <w:rsid w:val="002849DE"/>
    <w:rsid w:val="00284BF0"/>
    <w:rsid w:val="0029001F"/>
    <w:rsid w:val="0029038D"/>
    <w:rsid w:val="00290455"/>
    <w:rsid w:val="002905D0"/>
    <w:rsid w:val="00290731"/>
    <w:rsid w:val="00290F95"/>
    <w:rsid w:val="002933F7"/>
    <w:rsid w:val="00294427"/>
    <w:rsid w:val="002954BA"/>
    <w:rsid w:val="00295533"/>
    <w:rsid w:val="00295EF4"/>
    <w:rsid w:val="002965B7"/>
    <w:rsid w:val="00296832"/>
    <w:rsid w:val="00296DE9"/>
    <w:rsid w:val="00296E7D"/>
    <w:rsid w:val="00297BC3"/>
    <w:rsid w:val="002A23EE"/>
    <w:rsid w:val="002A2AAC"/>
    <w:rsid w:val="002A374E"/>
    <w:rsid w:val="002A3761"/>
    <w:rsid w:val="002A41D2"/>
    <w:rsid w:val="002A46F4"/>
    <w:rsid w:val="002A4B22"/>
    <w:rsid w:val="002A5000"/>
    <w:rsid w:val="002A5474"/>
    <w:rsid w:val="002A5FE4"/>
    <w:rsid w:val="002A6A7D"/>
    <w:rsid w:val="002A7F70"/>
    <w:rsid w:val="002B03AA"/>
    <w:rsid w:val="002B0A92"/>
    <w:rsid w:val="002B296D"/>
    <w:rsid w:val="002B2D30"/>
    <w:rsid w:val="002B3EA0"/>
    <w:rsid w:val="002B53B8"/>
    <w:rsid w:val="002B59F3"/>
    <w:rsid w:val="002B5D6D"/>
    <w:rsid w:val="002B71C4"/>
    <w:rsid w:val="002B76D0"/>
    <w:rsid w:val="002B7DAB"/>
    <w:rsid w:val="002C0B5D"/>
    <w:rsid w:val="002C0F3D"/>
    <w:rsid w:val="002C1A1D"/>
    <w:rsid w:val="002C1C46"/>
    <w:rsid w:val="002C231B"/>
    <w:rsid w:val="002C2799"/>
    <w:rsid w:val="002C2C0C"/>
    <w:rsid w:val="002C3400"/>
    <w:rsid w:val="002C3584"/>
    <w:rsid w:val="002C3B09"/>
    <w:rsid w:val="002C5495"/>
    <w:rsid w:val="002C6D55"/>
    <w:rsid w:val="002C75AE"/>
    <w:rsid w:val="002C7A53"/>
    <w:rsid w:val="002D10C9"/>
    <w:rsid w:val="002D14DB"/>
    <w:rsid w:val="002D1717"/>
    <w:rsid w:val="002D4031"/>
    <w:rsid w:val="002D4FE1"/>
    <w:rsid w:val="002D514E"/>
    <w:rsid w:val="002D527E"/>
    <w:rsid w:val="002D5AAC"/>
    <w:rsid w:val="002D5C12"/>
    <w:rsid w:val="002D60FF"/>
    <w:rsid w:val="002D6807"/>
    <w:rsid w:val="002E03A4"/>
    <w:rsid w:val="002E0A6C"/>
    <w:rsid w:val="002E13CC"/>
    <w:rsid w:val="002E1427"/>
    <w:rsid w:val="002E22E7"/>
    <w:rsid w:val="002E2CEA"/>
    <w:rsid w:val="002E33BF"/>
    <w:rsid w:val="002E3557"/>
    <w:rsid w:val="002E57C1"/>
    <w:rsid w:val="002E6F85"/>
    <w:rsid w:val="002E7287"/>
    <w:rsid w:val="002F208C"/>
    <w:rsid w:val="002F29A2"/>
    <w:rsid w:val="002F49A3"/>
    <w:rsid w:val="002F4CDA"/>
    <w:rsid w:val="002F55F5"/>
    <w:rsid w:val="002F6C26"/>
    <w:rsid w:val="002F6EC0"/>
    <w:rsid w:val="003005AD"/>
    <w:rsid w:val="00300E7B"/>
    <w:rsid w:val="003013B0"/>
    <w:rsid w:val="0030155F"/>
    <w:rsid w:val="00302660"/>
    <w:rsid w:val="00302B8D"/>
    <w:rsid w:val="00302F22"/>
    <w:rsid w:val="00303319"/>
    <w:rsid w:val="0030331E"/>
    <w:rsid w:val="00303F9F"/>
    <w:rsid w:val="00304EC6"/>
    <w:rsid w:val="00305566"/>
    <w:rsid w:val="00306959"/>
    <w:rsid w:val="00306B0C"/>
    <w:rsid w:val="00306EE5"/>
    <w:rsid w:val="00307E4D"/>
    <w:rsid w:val="00311F06"/>
    <w:rsid w:val="003130F2"/>
    <w:rsid w:val="00313FFE"/>
    <w:rsid w:val="003149A3"/>
    <w:rsid w:val="00314E61"/>
    <w:rsid w:val="00315422"/>
    <w:rsid w:val="003159F6"/>
    <w:rsid w:val="00315E78"/>
    <w:rsid w:val="00316C2D"/>
    <w:rsid w:val="00320DAD"/>
    <w:rsid w:val="00320EFD"/>
    <w:rsid w:val="00320F39"/>
    <w:rsid w:val="00321591"/>
    <w:rsid w:val="00321BDB"/>
    <w:rsid w:val="00321C6C"/>
    <w:rsid w:val="00321F28"/>
    <w:rsid w:val="003244A7"/>
    <w:rsid w:val="00324FCC"/>
    <w:rsid w:val="00325106"/>
    <w:rsid w:val="00325C2F"/>
    <w:rsid w:val="0032735E"/>
    <w:rsid w:val="003278AF"/>
    <w:rsid w:val="00327A47"/>
    <w:rsid w:val="00327E2C"/>
    <w:rsid w:val="0033042F"/>
    <w:rsid w:val="0033151B"/>
    <w:rsid w:val="00332738"/>
    <w:rsid w:val="00332B1C"/>
    <w:rsid w:val="00332CFD"/>
    <w:rsid w:val="00332F19"/>
    <w:rsid w:val="003338BB"/>
    <w:rsid w:val="003344B7"/>
    <w:rsid w:val="003344BD"/>
    <w:rsid w:val="003350A1"/>
    <w:rsid w:val="0033518E"/>
    <w:rsid w:val="00335459"/>
    <w:rsid w:val="00335A28"/>
    <w:rsid w:val="00335A67"/>
    <w:rsid w:val="0033639F"/>
    <w:rsid w:val="0033645E"/>
    <w:rsid w:val="0034174C"/>
    <w:rsid w:val="00341D32"/>
    <w:rsid w:val="00341E46"/>
    <w:rsid w:val="00343232"/>
    <w:rsid w:val="003432F4"/>
    <w:rsid w:val="00344410"/>
    <w:rsid w:val="003447B3"/>
    <w:rsid w:val="003458CA"/>
    <w:rsid w:val="00347742"/>
    <w:rsid w:val="003477AD"/>
    <w:rsid w:val="003502B7"/>
    <w:rsid w:val="003502FE"/>
    <w:rsid w:val="003503F5"/>
    <w:rsid w:val="0035163D"/>
    <w:rsid w:val="003520B1"/>
    <w:rsid w:val="003525C7"/>
    <w:rsid w:val="00352661"/>
    <w:rsid w:val="00352AF5"/>
    <w:rsid w:val="0035317A"/>
    <w:rsid w:val="0035390E"/>
    <w:rsid w:val="00355374"/>
    <w:rsid w:val="003570CF"/>
    <w:rsid w:val="003573B3"/>
    <w:rsid w:val="00360242"/>
    <w:rsid w:val="003605F0"/>
    <w:rsid w:val="00360E0A"/>
    <w:rsid w:val="003612A3"/>
    <w:rsid w:val="003624A7"/>
    <w:rsid w:val="003643F2"/>
    <w:rsid w:val="00364421"/>
    <w:rsid w:val="00364F74"/>
    <w:rsid w:val="003659C3"/>
    <w:rsid w:val="003668CC"/>
    <w:rsid w:val="00367045"/>
    <w:rsid w:val="00367C4B"/>
    <w:rsid w:val="00367DC6"/>
    <w:rsid w:val="00367E55"/>
    <w:rsid w:val="003704AD"/>
    <w:rsid w:val="00370883"/>
    <w:rsid w:val="00370A98"/>
    <w:rsid w:val="00371702"/>
    <w:rsid w:val="00371BA5"/>
    <w:rsid w:val="00371BDD"/>
    <w:rsid w:val="00371DCC"/>
    <w:rsid w:val="003729F2"/>
    <w:rsid w:val="003736CC"/>
    <w:rsid w:val="00373A05"/>
    <w:rsid w:val="00373D56"/>
    <w:rsid w:val="00374098"/>
    <w:rsid w:val="00374304"/>
    <w:rsid w:val="003748DE"/>
    <w:rsid w:val="00374EED"/>
    <w:rsid w:val="00375458"/>
    <w:rsid w:val="003756B0"/>
    <w:rsid w:val="00375B3F"/>
    <w:rsid w:val="00375B4F"/>
    <w:rsid w:val="00376039"/>
    <w:rsid w:val="00376CA3"/>
    <w:rsid w:val="0037731F"/>
    <w:rsid w:val="00377B1B"/>
    <w:rsid w:val="00380BFF"/>
    <w:rsid w:val="00380C57"/>
    <w:rsid w:val="00380E93"/>
    <w:rsid w:val="003821C5"/>
    <w:rsid w:val="0038346F"/>
    <w:rsid w:val="00383AC8"/>
    <w:rsid w:val="00383DCF"/>
    <w:rsid w:val="00383E0D"/>
    <w:rsid w:val="00384189"/>
    <w:rsid w:val="00384A5F"/>
    <w:rsid w:val="00384AB5"/>
    <w:rsid w:val="00384F7B"/>
    <w:rsid w:val="00386D33"/>
    <w:rsid w:val="00387882"/>
    <w:rsid w:val="00387B75"/>
    <w:rsid w:val="00390194"/>
    <w:rsid w:val="00390872"/>
    <w:rsid w:val="00391376"/>
    <w:rsid w:val="00391488"/>
    <w:rsid w:val="00391E41"/>
    <w:rsid w:val="00392158"/>
    <w:rsid w:val="0039236F"/>
    <w:rsid w:val="003933A5"/>
    <w:rsid w:val="00394E60"/>
    <w:rsid w:val="00395448"/>
    <w:rsid w:val="003957FE"/>
    <w:rsid w:val="00395F51"/>
    <w:rsid w:val="00396A52"/>
    <w:rsid w:val="003975FC"/>
    <w:rsid w:val="00397D28"/>
    <w:rsid w:val="003A0593"/>
    <w:rsid w:val="003A0DAF"/>
    <w:rsid w:val="003A0E44"/>
    <w:rsid w:val="003A3E7A"/>
    <w:rsid w:val="003A41FF"/>
    <w:rsid w:val="003A44A0"/>
    <w:rsid w:val="003A527F"/>
    <w:rsid w:val="003A52BE"/>
    <w:rsid w:val="003A6780"/>
    <w:rsid w:val="003B14B1"/>
    <w:rsid w:val="003B18CB"/>
    <w:rsid w:val="003B1F10"/>
    <w:rsid w:val="003B47D2"/>
    <w:rsid w:val="003B4A0A"/>
    <w:rsid w:val="003B594D"/>
    <w:rsid w:val="003B6749"/>
    <w:rsid w:val="003B6899"/>
    <w:rsid w:val="003B7176"/>
    <w:rsid w:val="003B794C"/>
    <w:rsid w:val="003C042A"/>
    <w:rsid w:val="003C205E"/>
    <w:rsid w:val="003C2567"/>
    <w:rsid w:val="003C2FAE"/>
    <w:rsid w:val="003C50A7"/>
    <w:rsid w:val="003C5180"/>
    <w:rsid w:val="003C562B"/>
    <w:rsid w:val="003C5BA9"/>
    <w:rsid w:val="003C78CF"/>
    <w:rsid w:val="003C79AA"/>
    <w:rsid w:val="003C7E7D"/>
    <w:rsid w:val="003D049E"/>
    <w:rsid w:val="003D07BA"/>
    <w:rsid w:val="003D0F55"/>
    <w:rsid w:val="003D10BB"/>
    <w:rsid w:val="003D1345"/>
    <w:rsid w:val="003D173A"/>
    <w:rsid w:val="003D230F"/>
    <w:rsid w:val="003D257C"/>
    <w:rsid w:val="003D2686"/>
    <w:rsid w:val="003D2D41"/>
    <w:rsid w:val="003D2EC4"/>
    <w:rsid w:val="003D3263"/>
    <w:rsid w:val="003D411C"/>
    <w:rsid w:val="003D4880"/>
    <w:rsid w:val="003D49EC"/>
    <w:rsid w:val="003D713B"/>
    <w:rsid w:val="003D76D3"/>
    <w:rsid w:val="003E13CA"/>
    <w:rsid w:val="003E205D"/>
    <w:rsid w:val="003E2B54"/>
    <w:rsid w:val="003E390C"/>
    <w:rsid w:val="003E3B10"/>
    <w:rsid w:val="003E514A"/>
    <w:rsid w:val="003E563E"/>
    <w:rsid w:val="003E6D4B"/>
    <w:rsid w:val="003E6DC6"/>
    <w:rsid w:val="003E7748"/>
    <w:rsid w:val="003E7B52"/>
    <w:rsid w:val="003F0775"/>
    <w:rsid w:val="003F0826"/>
    <w:rsid w:val="003F0A1D"/>
    <w:rsid w:val="003F1A04"/>
    <w:rsid w:val="003F1AD3"/>
    <w:rsid w:val="003F27C7"/>
    <w:rsid w:val="003F32C9"/>
    <w:rsid w:val="003F4551"/>
    <w:rsid w:val="003F55DE"/>
    <w:rsid w:val="003F6476"/>
    <w:rsid w:val="003F6485"/>
    <w:rsid w:val="003F72BF"/>
    <w:rsid w:val="003F7A10"/>
    <w:rsid w:val="003F7B88"/>
    <w:rsid w:val="003F7BF5"/>
    <w:rsid w:val="003F7C6C"/>
    <w:rsid w:val="003F7F35"/>
    <w:rsid w:val="00402DF8"/>
    <w:rsid w:val="00403447"/>
    <w:rsid w:val="00404AE4"/>
    <w:rsid w:val="004054E0"/>
    <w:rsid w:val="00406A53"/>
    <w:rsid w:val="00407059"/>
    <w:rsid w:val="00410002"/>
    <w:rsid w:val="004104CF"/>
    <w:rsid w:val="004117EF"/>
    <w:rsid w:val="0041231B"/>
    <w:rsid w:val="00412DE8"/>
    <w:rsid w:val="00414527"/>
    <w:rsid w:val="00414684"/>
    <w:rsid w:val="00414720"/>
    <w:rsid w:val="0041575C"/>
    <w:rsid w:val="0041598A"/>
    <w:rsid w:val="00416875"/>
    <w:rsid w:val="00416B9E"/>
    <w:rsid w:val="00417983"/>
    <w:rsid w:val="004200C4"/>
    <w:rsid w:val="004214B2"/>
    <w:rsid w:val="00422F70"/>
    <w:rsid w:val="004243DE"/>
    <w:rsid w:val="00424BDB"/>
    <w:rsid w:val="0042576B"/>
    <w:rsid w:val="00426021"/>
    <w:rsid w:val="00426818"/>
    <w:rsid w:val="0042779C"/>
    <w:rsid w:val="004279E6"/>
    <w:rsid w:val="00431386"/>
    <w:rsid w:val="004318AC"/>
    <w:rsid w:val="0043191D"/>
    <w:rsid w:val="00431CD5"/>
    <w:rsid w:val="00432807"/>
    <w:rsid w:val="00432ABE"/>
    <w:rsid w:val="004334A2"/>
    <w:rsid w:val="00433768"/>
    <w:rsid w:val="00434B9A"/>
    <w:rsid w:val="00436F1F"/>
    <w:rsid w:val="00437084"/>
    <w:rsid w:val="0044041B"/>
    <w:rsid w:val="00440AB2"/>
    <w:rsid w:val="00440CE0"/>
    <w:rsid w:val="00440F24"/>
    <w:rsid w:val="00442148"/>
    <w:rsid w:val="00442CC4"/>
    <w:rsid w:val="00444D22"/>
    <w:rsid w:val="00445140"/>
    <w:rsid w:val="00445F05"/>
    <w:rsid w:val="0044775C"/>
    <w:rsid w:val="004479D4"/>
    <w:rsid w:val="00451673"/>
    <w:rsid w:val="00451F80"/>
    <w:rsid w:val="00452881"/>
    <w:rsid w:val="00452A3A"/>
    <w:rsid w:val="004536AB"/>
    <w:rsid w:val="00453CC0"/>
    <w:rsid w:val="0045459E"/>
    <w:rsid w:val="004545D8"/>
    <w:rsid w:val="0045462A"/>
    <w:rsid w:val="00454CBB"/>
    <w:rsid w:val="00454FB5"/>
    <w:rsid w:val="004559F2"/>
    <w:rsid w:val="00455D42"/>
    <w:rsid w:val="00456006"/>
    <w:rsid w:val="0045604C"/>
    <w:rsid w:val="004568F0"/>
    <w:rsid w:val="00457696"/>
    <w:rsid w:val="004576A0"/>
    <w:rsid w:val="00457BED"/>
    <w:rsid w:val="004608E7"/>
    <w:rsid w:val="00460A01"/>
    <w:rsid w:val="004610B2"/>
    <w:rsid w:val="004611DC"/>
    <w:rsid w:val="00461B18"/>
    <w:rsid w:val="00462F03"/>
    <w:rsid w:val="00463297"/>
    <w:rsid w:val="004640AE"/>
    <w:rsid w:val="00465A07"/>
    <w:rsid w:val="00466BD6"/>
    <w:rsid w:val="00466EA5"/>
    <w:rsid w:val="00466FDF"/>
    <w:rsid w:val="004676C1"/>
    <w:rsid w:val="004677AF"/>
    <w:rsid w:val="004678A3"/>
    <w:rsid w:val="00470F3C"/>
    <w:rsid w:val="00471646"/>
    <w:rsid w:val="00471C95"/>
    <w:rsid w:val="00472C24"/>
    <w:rsid w:val="00472F57"/>
    <w:rsid w:val="00474EAF"/>
    <w:rsid w:val="00475DC1"/>
    <w:rsid w:val="0048139C"/>
    <w:rsid w:val="0048243D"/>
    <w:rsid w:val="00482614"/>
    <w:rsid w:val="00482CCD"/>
    <w:rsid w:val="004830A0"/>
    <w:rsid w:val="00483101"/>
    <w:rsid w:val="00483A1A"/>
    <w:rsid w:val="0048516F"/>
    <w:rsid w:val="00485815"/>
    <w:rsid w:val="00487388"/>
    <w:rsid w:val="00487978"/>
    <w:rsid w:val="00490E1A"/>
    <w:rsid w:val="00491627"/>
    <w:rsid w:val="00492781"/>
    <w:rsid w:val="00492ADB"/>
    <w:rsid w:val="00492CAD"/>
    <w:rsid w:val="00492E87"/>
    <w:rsid w:val="00492F1E"/>
    <w:rsid w:val="004931C0"/>
    <w:rsid w:val="00493FAA"/>
    <w:rsid w:val="0049457D"/>
    <w:rsid w:val="00494827"/>
    <w:rsid w:val="00494853"/>
    <w:rsid w:val="00496026"/>
    <w:rsid w:val="0049627A"/>
    <w:rsid w:val="004962CF"/>
    <w:rsid w:val="00496ECD"/>
    <w:rsid w:val="004A0321"/>
    <w:rsid w:val="004A1A0C"/>
    <w:rsid w:val="004A1DB7"/>
    <w:rsid w:val="004A2436"/>
    <w:rsid w:val="004A2A92"/>
    <w:rsid w:val="004A2F45"/>
    <w:rsid w:val="004A3047"/>
    <w:rsid w:val="004A38B7"/>
    <w:rsid w:val="004A46E1"/>
    <w:rsid w:val="004A51D1"/>
    <w:rsid w:val="004A58A1"/>
    <w:rsid w:val="004A5F3D"/>
    <w:rsid w:val="004A6044"/>
    <w:rsid w:val="004A6D40"/>
    <w:rsid w:val="004A73DF"/>
    <w:rsid w:val="004A7F08"/>
    <w:rsid w:val="004A7F14"/>
    <w:rsid w:val="004B2B58"/>
    <w:rsid w:val="004B307B"/>
    <w:rsid w:val="004B5B6E"/>
    <w:rsid w:val="004B67AA"/>
    <w:rsid w:val="004B6E60"/>
    <w:rsid w:val="004B7103"/>
    <w:rsid w:val="004B743F"/>
    <w:rsid w:val="004C045F"/>
    <w:rsid w:val="004C048C"/>
    <w:rsid w:val="004C0517"/>
    <w:rsid w:val="004C27ED"/>
    <w:rsid w:val="004C2F7D"/>
    <w:rsid w:val="004C320D"/>
    <w:rsid w:val="004C34D1"/>
    <w:rsid w:val="004C3CE7"/>
    <w:rsid w:val="004C3D37"/>
    <w:rsid w:val="004C4C77"/>
    <w:rsid w:val="004C4CAE"/>
    <w:rsid w:val="004C6118"/>
    <w:rsid w:val="004C6B7B"/>
    <w:rsid w:val="004C6C44"/>
    <w:rsid w:val="004D0806"/>
    <w:rsid w:val="004D1C47"/>
    <w:rsid w:val="004D1CA9"/>
    <w:rsid w:val="004D2158"/>
    <w:rsid w:val="004D431B"/>
    <w:rsid w:val="004D544B"/>
    <w:rsid w:val="004D5659"/>
    <w:rsid w:val="004D5748"/>
    <w:rsid w:val="004D5DFC"/>
    <w:rsid w:val="004D605C"/>
    <w:rsid w:val="004D69A6"/>
    <w:rsid w:val="004D6FBD"/>
    <w:rsid w:val="004D7BD4"/>
    <w:rsid w:val="004E0A19"/>
    <w:rsid w:val="004E13C8"/>
    <w:rsid w:val="004E13FC"/>
    <w:rsid w:val="004E1F57"/>
    <w:rsid w:val="004E25D3"/>
    <w:rsid w:val="004E27F4"/>
    <w:rsid w:val="004E2B7D"/>
    <w:rsid w:val="004E3DDD"/>
    <w:rsid w:val="004E4B89"/>
    <w:rsid w:val="004E4D43"/>
    <w:rsid w:val="004E4FBF"/>
    <w:rsid w:val="004E5CDE"/>
    <w:rsid w:val="004E5E05"/>
    <w:rsid w:val="004E5E11"/>
    <w:rsid w:val="004E76B9"/>
    <w:rsid w:val="004F03EA"/>
    <w:rsid w:val="004F0BFB"/>
    <w:rsid w:val="004F0DD0"/>
    <w:rsid w:val="004F0FA2"/>
    <w:rsid w:val="004F12AF"/>
    <w:rsid w:val="004F15CD"/>
    <w:rsid w:val="004F1905"/>
    <w:rsid w:val="004F1E3B"/>
    <w:rsid w:val="004F2D04"/>
    <w:rsid w:val="004F3FC3"/>
    <w:rsid w:val="004F4097"/>
    <w:rsid w:val="004F4910"/>
    <w:rsid w:val="004F510A"/>
    <w:rsid w:val="004F6B72"/>
    <w:rsid w:val="004F7E95"/>
    <w:rsid w:val="00501A9C"/>
    <w:rsid w:val="005020B7"/>
    <w:rsid w:val="005038FE"/>
    <w:rsid w:val="00503C76"/>
    <w:rsid w:val="00503F5E"/>
    <w:rsid w:val="00504266"/>
    <w:rsid w:val="0050469F"/>
    <w:rsid w:val="005048FD"/>
    <w:rsid w:val="0050543A"/>
    <w:rsid w:val="00506F92"/>
    <w:rsid w:val="0050720E"/>
    <w:rsid w:val="00507C53"/>
    <w:rsid w:val="005120E3"/>
    <w:rsid w:val="00512887"/>
    <w:rsid w:val="0051349A"/>
    <w:rsid w:val="00513501"/>
    <w:rsid w:val="0051362A"/>
    <w:rsid w:val="00513FDD"/>
    <w:rsid w:val="00514234"/>
    <w:rsid w:val="00514723"/>
    <w:rsid w:val="0051473D"/>
    <w:rsid w:val="00514F2B"/>
    <w:rsid w:val="00514FFE"/>
    <w:rsid w:val="00515FE8"/>
    <w:rsid w:val="00516C84"/>
    <w:rsid w:val="00516D86"/>
    <w:rsid w:val="00520649"/>
    <w:rsid w:val="0052095C"/>
    <w:rsid w:val="00524501"/>
    <w:rsid w:val="00524FE3"/>
    <w:rsid w:val="00525B15"/>
    <w:rsid w:val="005263DE"/>
    <w:rsid w:val="00526493"/>
    <w:rsid w:val="0052686F"/>
    <w:rsid w:val="00526A46"/>
    <w:rsid w:val="00526FBD"/>
    <w:rsid w:val="00530347"/>
    <w:rsid w:val="005304AA"/>
    <w:rsid w:val="005307BB"/>
    <w:rsid w:val="0053085D"/>
    <w:rsid w:val="00530FAA"/>
    <w:rsid w:val="005310A0"/>
    <w:rsid w:val="00531B27"/>
    <w:rsid w:val="0053271A"/>
    <w:rsid w:val="005338B5"/>
    <w:rsid w:val="00534251"/>
    <w:rsid w:val="005344FF"/>
    <w:rsid w:val="0053490F"/>
    <w:rsid w:val="00534DFB"/>
    <w:rsid w:val="005353C9"/>
    <w:rsid w:val="00535D7F"/>
    <w:rsid w:val="00535F21"/>
    <w:rsid w:val="00536746"/>
    <w:rsid w:val="00536D61"/>
    <w:rsid w:val="0053796B"/>
    <w:rsid w:val="00537CCA"/>
    <w:rsid w:val="00537E26"/>
    <w:rsid w:val="00540271"/>
    <w:rsid w:val="00540366"/>
    <w:rsid w:val="005406FC"/>
    <w:rsid w:val="00541222"/>
    <w:rsid w:val="005414CE"/>
    <w:rsid w:val="00541D6A"/>
    <w:rsid w:val="00541E00"/>
    <w:rsid w:val="005428F9"/>
    <w:rsid w:val="0054303A"/>
    <w:rsid w:val="00543612"/>
    <w:rsid w:val="00543E4B"/>
    <w:rsid w:val="00544BBF"/>
    <w:rsid w:val="00544E32"/>
    <w:rsid w:val="00547117"/>
    <w:rsid w:val="005478E3"/>
    <w:rsid w:val="00547F46"/>
    <w:rsid w:val="0055074F"/>
    <w:rsid w:val="005515A3"/>
    <w:rsid w:val="005516FD"/>
    <w:rsid w:val="00551F56"/>
    <w:rsid w:val="005535C7"/>
    <w:rsid w:val="00553B06"/>
    <w:rsid w:val="00555737"/>
    <w:rsid w:val="00555BB7"/>
    <w:rsid w:val="00555C5F"/>
    <w:rsid w:val="00555CF5"/>
    <w:rsid w:val="00556766"/>
    <w:rsid w:val="00556D0B"/>
    <w:rsid w:val="00556FD2"/>
    <w:rsid w:val="005570DE"/>
    <w:rsid w:val="00557257"/>
    <w:rsid w:val="005577BD"/>
    <w:rsid w:val="00560067"/>
    <w:rsid w:val="0056072C"/>
    <w:rsid w:val="0056093A"/>
    <w:rsid w:val="00561299"/>
    <w:rsid w:val="005612A0"/>
    <w:rsid w:val="00561B90"/>
    <w:rsid w:val="00561FAD"/>
    <w:rsid w:val="00561FD2"/>
    <w:rsid w:val="00562081"/>
    <w:rsid w:val="005622AE"/>
    <w:rsid w:val="005622E1"/>
    <w:rsid w:val="0056247B"/>
    <w:rsid w:val="005626AD"/>
    <w:rsid w:val="00562797"/>
    <w:rsid w:val="00562834"/>
    <w:rsid w:val="0056348A"/>
    <w:rsid w:val="00563E2C"/>
    <w:rsid w:val="005644F7"/>
    <w:rsid w:val="00564A7F"/>
    <w:rsid w:val="00564E9C"/>
    <w:rsid w:val="005654FC"/>
    <w:rsid w:val="005657B8"/>
    <w:rsid w:val="00565C33"/>
    <w:rsid w:val="00565F22"/>
    <w:rsid w:val="005663EE"/>
    <w:rsid w:val="00566544"/>
    <w:rsid w:val="0056692E"/>
    <w:rsid w:val="00566B7F"/>
    <w:rsid w:val="00566C61"/>
    <w:rsid w:val="005671E9"/>
    <w:rsid w:val="005676BA"/>
    <w:rsid w:val="00567F70"/>
    <w:rsid w:val="005702D0"/>
    <w:rsid w:val="00572833"/>
    <w:rsid w:val="00572CB8"/>
    <w:rsid w:val="00573205"/>
    <w:rsid w:val="00573A3D"/>
    <w:rsid w:val="00573A6A"/>
    <w:rsid w:val="00573EC1"/>
    <w:rsid w:val="00573EE8"/>
    <w:rsid w:val="005742F1"/>
    <w:rsid w:val="00574418"/>
    <w:rsid w:val="005747E4"/>
    <w:rsid w:val="005754F2"/>
    <w:rsid w:val="00575A66"/>
    <w:rsid w:val="00575DF1"/>
    <w:rsid w:val="00577070"/>
    <w:rsid w:val="005779F3"/>
    <w:rsid w:val="00581276"/>
    <w:rsid w:val="0058184E"/>
    <w:rsid w:val="00581C78"/>
    <w:rsid w:val="00581E50"/>
    <w:rsid w:val="00582DC0"/>
    <w:rsid w:val="005840F6"/>
    <w:rsid w:val="00585052"/>
    <w:rsid w:val="00585866"/>
    <w:rsid w:val="00586BC8"/>
    <w:rsid w:val="00587053"/>
    <w:rsid w:val="005873A0"/>
    <w:rsid w:val="00587D18"/>
    <w:rsid w:val="0059001B"/>
    <w:rsid w:val="00591874"/>
    <w:rsid w:val="0059229A"/>
    <w:rsid w:val="00592317"/>
    <w:rsid w:val="005930C7"/>
    <w:rsid w:val="00593FB1"/>
    <w:rsid w:val="00593FD5"/>
    <w:rsid w:val="00594007"/>
    <w:rsid w:val="005942A6"/>
    <w:rsid w:val="0059463F"/>
    <w:rsid w:val="00594C04"/>
    <w:rsid w:val="00594D66"/>
    <w:rsid w:val="00594FE7"/>
    <w:rsid w:val="00595084"/>
    <w:rsid w:val="00595683"/>
    <w:rsid w:val="0059614F"/>
    <w:rsid w:val="005962E0"/>
    <w:rsid w:val="005966BA"/>
    <w:rsid w:val="00596932"/>
    <w:rsid w:val="00596E37"/>
    <w:rsid w:val="005970BB"/>
    <w:rsid w:val="005A0065"/>
    <w:rsid w:val="005A17B8"/>
    <w:rsid w:val="005A2097"/>
    <w:rsid w:val="005A2741"/>
    <w:rsid w:val="005A33B4"/>
    <w:rsid w:val="005A4818"/>
    <w:rsid w:val="005A5448"/>
    <w:rsid w:val="005A5F5D"/>
    <w:rsid w:val="005A6267"/>
    <w:rsid w:val="005A6952"/>
    <w:rsid w:val="005A69A8"/>
    <w:rsid w:val="005A786C"/>
    <w:rsid w:val="005B02F9"/>
    <w:rsid w:val="005B0360"/>
    <w:rsid w:val="005B1451"/>
    <w:rsid w:val="005B4403"/>
    <w:rsid w:val="005B4D2E"/>
    <w:rsid w:val="005B55E9"/>
    <w:rsid w:val="005B5D32"/>
    <w:rsid w:val="005B640A"/>
    <w:rsid w:val="005B7E07"/>
    <w:rsid w:val="005C090E"/>
    <w:rsid w:val="005C0AD9"/>
    <w:rsid w:val="005C141A"/>
    <w:rsid w:val="005C270D"/>
    <w:rsid w:val="005C43C3"/>
    <w:rsid w:val="005C4489"/>
    <w:rsid w:val="005C567D"/>
    <w:rsid w:val="005C56EE"/>
    <w:rsid w:val="005C57B4"/>
    <w:rsid w:val="005C642A"/>
    <w:rsid w:val="005C7674"/>
    <w:rsid w:val="005C7A4B"/>
    <w:rsid w:val="005D10F2"/>
    <w:rsid w:val="005D2399"/>
    <w:rsid w:val="005D2527"/>
    <w:rsid w:val="005D28B8"/>
    <w:rsid w:val="005D2922"/>
    <w:rsid w:val="005D2E3B"/>
    <w:rsid w:val="005D3CE4"/>
    <w:rsid w:val="005D4047"/>
    <w:rsid w:val="005D4A18"/>
    <w:rsid w:val="005D4B60"/>
    <w:rsid w:val="005D4C77"/>
    <w:rsid w:val="005D4CB4"/>
    <w:rsid w:val="005D67C6"/>
    <w:rsid w:val="005D723C"/>
    <w:rsid w:val="005D7B15"/>
    <w:rsid w:val="005E002C"/>
    <w:rsid w:val="005E1E70"/>
    <w:rsid w:val="005E1FF0"/>
    <w:rsid w:val="005E2207"/>
    <w:rsid w:val="005E2F50"/>
    <w:rsid w:val="005E348B"/>
    <w:rsid w:val="005E4A16"/>
    <w:rsid w:val="005E5027"/>
    <w:rsid w:val="005E525A"/>
    <w:rsid w:val="005E55EF"/>
    <w:rsid w:val="005E5E26"/>
    <w:rsid w:val="005E664A"/>
    <w:rsid w:val="005F00EA"/>
    <w:rsid w:val="005F01EE"/>
    <w:rsid w:val="005F0D3E"/>
    <w:rsid w:val="005F10BB"/>
    <w:rsid w:val="005F149A"/>
    <w:rsid w:val="005F1EDD"/>
    <w:rsid w:val="005F30C4"/>
    <w:rsid w:val="005F3315"/>
    <w:rsid w:val="005F39B5"/>
    <w:rsid w:val="005F5CC9"/>
    <w:rsid w:val="005F66D5"/>
    <w:rsid w:val="005F750F"/>
    <w:rsid w:val="006016F6"/>
    <w:rsid w:val="00602473"/>
    <w:rsid w:val="0060408A"/>
    <w:rsid w:val="0060443F"/>
    <w:rsid w:val="00604CF7"/>
    <w:rsid w:val="00605E27"/>
    <w:rsid w:val="006064B5"/>
    <w:rsid w:val="006069A3"/>
    <w:rsid w:val="0060716A"/>
    <w:rsid w:val="0060753A"/>
    <w:rsid w:val="00613531"/>
    <w:rsid w:val="00613CE4"/>
    <w:rsid w:val="006144B4"/>
    <w:rsid w:val="006150F7"/>
    <w:rsid w:val="006160B3"/>
    <w:rsid w:val="006169CF"/>
    <w:rsid w:val="00616BEB"/>
    <w:rsid w:val="0061748D"/>
    <w:rsid w:val="006216A1"/>
    <w:rsid w:val="00622AC6"/>
    <w:rsid w:val="0062362F"/>
    <w:rsid w:val="00624868"/>
    <w:rsid w:val="00624DCC"/>
    <w:rsid w:val="00624E29"/>
    <w:rsid w:val="00624F40"/>
    <w:rsid w:val="0062576A"/>
    <w:rsid w:val="00627767"/>
    <w:rsid w:val="00627A15"/>
    <w:rsid w:val="006306CA"/>
    <w:rsid w:val="00630812"/>
    <w:rsid w:val="00630A6F"/>
    <w:rsid w:val="00631247"/>
    <w:rsid w:val="0063174E"/>
    <w:rsid w:val="00631F7F"/>
    <w:rsid w:val="0063408B"/>
    <w:rsid w:val="00635A32"/>
    <w:rsid w:val="00635A44"/>
    <w:rsid w:val="00635F61"/>
    <w:rsid w:val="00636551"/>
    <w:rsid w:val="006375B4"/>
    <w:rsid w:val="00637DE3"/>
    <w:rsid w:val="0064007D"/>
    <w:rsid w:val="006404FE"/>
    <w:rsid w:val="00640622"/>
    <w:rsid w:val="00640849"/>
    <w:rsid w:val="0064131E"/>
    <w:rsid w:val="00641525"/>
    <w:rsid w:val="006424AD"/>
    <w:rsid w:val="00642826"/>
    <w:rsid w:val="00642C0C"/>
    <w:rsid w:val="00643B34"/>
    <w:rsid w:val="00643E6A"/>
    <w:rsid w:val="00644A9C"/>
    <w:rsid w:val="006468BC"/>
    <w:rsid w:val="00646B4D"/>
    <w:rsid w:val="00646BE5"/>
    <w:rsid w:val="00647379"/>
    <w:rsid w:val="00647443"/>
    <w:rsid w:val="006502CA"/>
    <w:rsid w:val="00650923"/>
    <w:rsid w:val="00650A99"/>
    <w:rsid w:val="00651C50"/>
    <w:rsid w:val="006520F0"/>
    <w:rsid w:val="00652BFD"/>
    <w:rsid w:val="00652CEB"/>
    <w:rsid w:val="00653056"/>
    <w:rsid w:val="0065314C"/>
    <w:rsid w:val="00653D18"/>
    <w:rsid w:val="00653EAD"/>
    <w:rsid w:val="00654C11"/>
    <w:rsid w:val="006553C3"/>
    <w:rsid w:val="00655AC5"/>
    <w:rsid w:val="00656C81"/>
    <w:rsid w:val="00657247"/>
    <w:rsid w:val="006617E5"/>
    <w:rsid w:val="00661983"/>
    <w:rsid w:val="00661BA4"/>
    <w:rsid w:val="006621C0"/>
    <w:rsid w:val="00662973"/>
    <w:rsid w:val="0066390E"/>
    <w:rsid w:val="00664147"/>
    <w:rsid w:val="00664467"/>
    <w:rsid w:val="00664C45"/>
    <w:rsid w:val="00670BB8"/>
    <w:rsid w:val="006711D6"/>
    <w:rsid w:val="006717B6"/>
    <w:rsid w:val="00671E0A"/>
    <w:rsid w:val="006757FF"/>
    <w:rsid w:val="006758DB"/>
    <w:rsid w:val="0067650F"/>
    <w:rsid w:val="00676FC4"/>
    <w:rsid w:val="006771EE"/>
    <w:rsid w:val="00680939"/>
    <w:rsid w:val="0068145C"/>
    <w:rsid w:val="00681702"/>
    <w:rsid w:val="00681EBF"/>
    <w:rsid w:val="00683C1F"/>
    <w:rsid w:val="00683EFB"/>
    <w:rsid w:val="00683F83"/>
    <w:rsid w:val="006840A0"/>
    <w:rsid w:val="0068413D"/>
    <w:rsid w:val="00684431"/>
    <w:rsid w:val="00685623"/>
    <w:rsid w:val="0068603C"/>
    <w:rsid w:val="00686300"/>
    <w:rsid w:val="00686900"/>
    <w:rsid w:val="00687BBB"/>
    <w:rsid w:val="00687D33"/>
    <w:rsid w:val="00687ED7"/>
    <w:rsid w:val="00690B38"/>
    <w:rsid w:val="00690F18"/>
    <w:rsid w:val="006916B2"/>
    <w:rsid w:val="00691878"/>
    <w:rsid w:val="00693E30"/>
    <w:rsid w:val="00694519"/>
    <w:rsid w:val="00695246"/>
    <w:rsid w:val="0069594F"/>
    <w:rsid w:val="00695AE5"/>
    <w:rsid w:val="006966C4"/>
    <w:rsid w:val="006978B9"/>
    <w:rsid w:val="00697BFB"/>
    <w:rsid w:val="00697DE2"/>
    <w:rsid w:val="00697F1B"/>
    <w:rsid w:val="006A136F"/>
    <w:rsid w:val="006A355D"/>
    <w:rsid w:val="006A46C1"/>
    <w:rsid w:val="006A4C5F"/>
    <w:rsid w:val="006A5284"/>
    <w:rsid w:val="006A5F3C"/>
    <w:rsid w:val="006A610D"/>
    <w:rsid w:val="006A6240"/>
    <w:rsid w:val="006A6270"/>
    <w:rsid w:val="006B0BF6"/>
    <w:rsid w:val="006B0C9B"/>
    <w:rsid w:val="006B1966"/>
    <w:rsid w:val="006B44D8"/>
    <w:rsid w:val="006B503E"/>
    <w:rsid w:val="006B53AE"/>
    <w:rsid w:val="006B5D70"/>
    <w:rsid w:val="006C0DE9"/>
    <w:rsid w:val="006C15B9"/>
    <w:rsid w:val="006C3308"/>
    <w:rsid w:val="006C43FC"/>
    <w:rsid w:val="006C450A"/>
    <w:rsid w:val="006C51F6"/>
    <w:rsid w:val="006C5C35"/>
    <w:rsid w:val="006C5E10"/>
    <w:rsid w:val="006C6BE5"/>
    <w:rsid w:val="006C72DE"/>
    <w:rsid w:val="006C76D3"/>
    <w:rsid w:val="006C7BC0"/>
    <w:rsid w:val="006D08CE"/>
    <w:rsid w:val="006D08FD"/>
    <w:rsid w:val="006D0BAC"/>
    <w:rsid w:val="006D103D"/>
    <w:rsid w:val="006D2B75"/>
    <w:rsid w:val="006D3D83"/>
    <w:rsid w:val="006D4BB3"/>
    <w:rsid w:val="006D502B"/>
    <w:rsid w:val="006D5232"/>
    <w:rsid w:val="006D5396"/>
    <w:rsid w:val="006D69DB"/>
    <w:rsid w:val="006D6B7D"/>
    <w:rsid w:val="006D7586"/>
    <w:rsid w:val="006E0E8E"/>
    <w:rsid w:val="006E2AF5"/>
    <w:rsid w:val="006E3254"/>
    <w:rsid w:val="006E360A"/>
    <w:rsid w:val="006E4006"/>
    <w:rsid w:val="006E470F"/>
    <w:rsid w:val="006E5083"/>
    <w:rsid w:val="006E5F0F"/>
    <w:rsid w:val="006E7389"/>
    <w:rsid w:val="006F047F"/>
    <w:rsid w:val="006F0F73"/>
    <w:rsid w:val="006F11D8"/>
    <w:rsid w:val="006F17F8"/>
    <w:rsid w:val="006F295F"/>
    <w:rsid w:val="006F29D1"/>
    <w:rsid w:val="006F2B0F"/>
    <w:rsid w:val="006F4829"/>
    <w:rsid w:val="006F573D"/>
    <w:rsid w:val="006F6AD1"/>
    <w:rsid w:val="006F6F4B"/>
    <w:rsid w:val="006F7310"/>
    <w:rsid w:val="00700007"/>
    <w:rsid w:val="007013D1"/>
    <w:rsid w:val="0070168B"/>
    <w:rsid w:val="0070239E"/>
    <w:rsid w:val="007027A4"/>
    <w:rsid w:val="007029F6"/>
    <w:rsid w:val="00703206"/>
    <w:rsid w:val="007033D5"/>
    <w:rsid w:val="00703423"/>
    <w:rsid w:val="00704622"/>
    <w:rsid w:val="00705B8B"/>
    <w:rsid w:val="007069C0"/>
    <w:rsid w:val="00706D79"/>
    <w:rsid w:val="007073BD"/>
    <w:rsid w:val="00710E22"/>
    <w:rsid w:val="00710F0B"/>
    <w:rsid w:val="007138D7"/>
    <w:rsid w:val="00714710"/>
    <w:rsid w:val="0071477B"/>
    <w:rsid w:val="00714FF6"/>
    <w:rsid w:val="00715E8B"/>
    <w:rsid w:val="00716999"/>
    <w:rsid w:val="00717113"/>
    <w:rsid w:val="00720639"/>
    <w:rsid w:val="007206E1"/>
    <w:rsid w:val="00720A44"/>
    <w:rsid w:val="00721E26"/>
    <w:rsid w:val="007226C6"/>
    <w:rsid w:val="007229F2"/>
    <w:rsid w:val="00722AEE"/>
    <w:rsid w:val="00722F05"/>
    <w:rsid w:val="007232C8"/>
    <w:rsid w:val="00723D23"/>
    <w:rsid w:val="007244CF"/>
    <w:rsid w:val="007246A0"/>
    <w:rsid w:val="00724BFA"/>
    <w:rsid w:val="00724E0F"/>
    <w:rsid w:val="00727AF7"/>
    <w:rsid w:val="00727D29"/>
    <w:rsid w:val="00730873"/>
    <w:rsid w:val="0073096E"/>
    <w:rsid w:val="00731330"/>
    <w:rsid w:val="00731434"/>
    <w:rsid w:val="00732A88"/>
    <w:rsid w:val="00733249"/>
    <w:rsid w:val="007339E1"/>
    <w:rsid w:val="007351DF"/>
    <w:rsid w:val="007359FF"/>
    <w:rsid w:val="00736D37"/>
    <w:rsid w:val="00736D73"/>
    <w:rsid w:val="0073772E"/>
    <w:rsid w:val="0074066B"/>
    <w:rsid w:val="00741B5F"/>
    <w:rsid w:val="007424E0"/>
    <w:rsid w:val="00742650"/>
    <w:rsid w:val="00742953"/>
    <w:rsid w:val="0074381E"/>
    <w:rsid w:val="00743BAE"/>
    <w:rsid w:val="007447D2"/>
    <w:rsid w:val="00745762"/>
    <w:rsid w:val="00745969"/>
    <w:rsid w:val="00745B5F"/>
    <w:rsid w:val="00745C6B"/>
    <w:rsid w:val="0074638A"/>
    <w:rsid w:val="0074771F"/>
    <w:rsid w:val="00747BE6"/>
    <w:rsid w:val="00747D5D"/>
    <w:rsid w:val="00747DB9"/>
    <w:rsid w:val="007506AD"/>
    <w:rsid w:val="00751E5D"/>
    <w:rsid w:val="00751F39"/>
    <w:rsid w:val="00752559"/>
    <w:rsid w:val="00752DC3"/>
    <w:rsid w:val="00753134"/>
    <w:rsid w:val="0075315E"/>
    <w:rsid w:val="00753CC0"/>
    <w:rsid w:val="00754D80"/>
    <w:rsid w:val="00754DC5"/>
    <w:rsid w:val="00755027"/>
    <w:rsid w:val="00757227"/>
    <w:rsid w:val="007572F9"/>
    <w:rsid w:val="00757334"/>
    <w:rsid w:val="00757BAD"/>
    <w:rsid w:val="00757C61"/>
    <w:rsid w:val="00757EE6"/>
    <w:rsid w:val="0076001B"/>
    <w:rsid w:val="00761023"/>
    <w:rsid w:val="0076272A"/>
    <w:rsid w:val="00762809"/>
    <w:rsid w:val="00762C0E"/>
    <w:rsid w:val="00762D35"/>
    <w:rsid w:val="00763886"/>
    <w:rsid w:val="00763F94"/>
    <w:rsid w:val="00764B3E"/>
    <w:rsid w:val="00764F79"/>
    <w:rsid w:val="0076628C"/>
    <w:rsid w:val="007666FA"/>
    <w:rsid w:val="0076683E"/>
    <w:rsid w:val="007669F0"/>
    <w:rsid w:val="007700A0"/>
    <w:rsid w:val="0077038A"/>
    <w:rsid w:val="00770D17"/>
    <w:rsid w:val="0077101E"/>
    <w:rsid w:val="00771624"/>
    <w:rsid w:val="00771B4E"/>
    <w:rsid w:val="00771BB6"/>
    <w:rsid w:val="00772482"/>
    <w:rsid w:val="00772D59"/>
    <w:rsid w:val="00773464"/>
    <w:rsid w:val="00773A80"/>
    <w:rsid w:val="00773FA6"/>
    <w:rsid w:val="00774A84"/>
    <w:rsid w:val="00775063"/>
    <w:rsid w:val="007753BF"/>
    <w:rsid w:val="00775B03"/>
    <w:rsid w:val="00775C7A"/>
    <w:rsid w:val="00775F4D"/>
    <w:rsid w:val="007763FB"/>
    <w:rsid w:val="00777777"/>
    <w:rsid w:val="00777C94"/>
    <w:rsid w:val="007801CF"/>
    <w:rsid w:val="00780496"/>
    <w:rsid w:val="007804F7"/>
    <w:rsid w:val="00780DC5"/>
    <w:rsid w:val="00781E08"/>
    <w:rsid w:val="007835EB"/>
    <w:rsid w:val="007839EE"/>
    <w:rsid w:val="00783F2B"/>
    <w:rsid w:val="007849BB"/>
    <w:rsid w:val="007852F5"/>
    <w:rsid w:val="00785D99"/>
    <w:rsid w:val="00786399"/>
    <w:rsid w:val="00791207"/>
    <w:rsid w:val="00791861"/>
    <w:rsid w:val="00791B41"/>
    <w:rsid w:val="00791BE6"/>
    <w:rsid w:val="0079296D"/>
    <w:rsid w:val="00793833"/>
    <w:rsid w:val="00793F23"/>
    <w:rsid w:val="00794BA6"/>
    <w:rsid w:val="00794D71"/>
    <w:rsid w:val="007959BB"/>
    <w:rsid w:val="00795A4F"/>
    <w:rsid w:val="00795C32"/>
    <w:rsid w:val="00795E96"/>
    <w:rsid w:val="00796028"/>
    <w:rsid w:val="00796068"/>
    <w:rsid w:val="007960C7"/>
    <w:rsid w:val="007978BF"/>
    <w:rsid w:val="00797B8B"/>
    <w:rsid w:val="00797BF5"/>
    <w:rsid w:val="007A0D25"/>
    <w:rsid w:val="007A1241"/>
    <w:rsid w:val="007A198F"/>
    <w:rsid w:val="007A279E"/>
    <w:rsid w:val="007A2CF0"/>
    <w:rsid w:val="007A3E7F"/>
    <w:rsid w:val="007A4ADD"/>
    <w:rsid w:val="007A56A9"/>
    <w:rsid w:val="007A5BBC"/>
    <w:rsid w:val="007A75CA"/>
    <w:rsid w:val="007A79F4"/>
    <w:rsid w:val="007B04FA"/>
    <w:rsid w:val="007B071C"/>
    <w:rsid w:val="007B1231"/>
    <w:rsid w:val="007B16F0"/>
    <w:rsid w:val="007B3561"/>
    <w:rsid w:val="007B45AF"/>
    <w:rsid w:val="007B4B46"/>
    <w:rsid w:val="007B5B1B"/>
    <w:rsid w:val="007B6370"/>
    <w:rsid w:val="007B6779"/>
    <w:rsid w:val="007B7222"/>
    <w:rsid w:val="007B734A"/>
    <w:rsid w:val="007B766F"/>
    <w:rsid w:val="007B770F"/>
    <w:rsid w:val="007B7A14"/>
    <w:rsid w:val="007C0ACB"/>
    <w:rsid w:val="007C0D54"/>
    <w:rsid w:val="007C4B3C"/>
    <w:rsid w:val="007C4BB8"/>
    <w:rsid w:val="007C4DA4"/>
    <w:rsid w:val="007C5542"/>
    <w:rsid w:val="007C6073"/>
    <w:rsid w:val="007C6632"/>
    <w:rsid w:val="007C67EC"/>
    <w:rsid w:val="007C79F6"/>
    <w:rsid w:val="007C7C9B"/>
    <w:rsid w:val="007C7DCD"/>
    <w:rsid w:val="007D1949"/>
    <w:rsid w:val="007D3CCC"/>
    <w:rsid w:val="007D5480"/>
    <w:rsid w:val="007D78C7"/>
    <w:rsid w:val="007E1B01"/>
    <w:rsid w:val="007E31C8"/>
    <w:rsid w:val="007E6F37"/>
    <w:rsid w:val="007E7580"/>
    <w:rsid w:val="007E7690"/>
    <w:rsid w:val="007F01DD"/>
    <w:rsid w:val="007F0EDF"/>
    <w:rsid w:val="007F23DC"/>
    <w:rsid w:val="007F2D30"/>
    <w:rsid w:val="007F3388"/>
    <w:rsid w:val="007F429D"/>
    <w:rsid w:val="007F5E17"/>
    <w:rsid w:val="007F659F"/>
    <w:rsid w:val="007F69E7"/>
    <w:rsid w:val="007F6AE3"/>
    <w:rsid w:val="007F6C39"/>
    <w:rsid w:val="007F717D"/>
    <w:rsid w:val="007F7395"/>
    <w:rsid w:val="007F7A71"/>
    <w:rsid w:val="007F7B66"/>
    <w:rsid w:val="007F7F16"/>
    <w:rsid w:val="00800306"/>
    <w:rsid w:val="008011EF"/>
    <w:rsid w:val="00802743"/>
    <w:rsid w:val="00803861"/>
    <w:rsid w:val="00805080"/>
    <w:rsid w:val="00805B20"/>
    <w:rsid w:val="00806507"/>
    <w:rsid w:val="0080666E"/>
    <w:rsid w:val="0080722C"/>
    <w:rsid w:val="008079D9"/>
    <w:rsid w:val="0081065C"/>
    <w:rsid w:val="008108A8"/>
    <w:rsid w:val="0081126B"/>
    <w:rsid w:val="00812EC2"/>
    <w:rsid w:val="00813101"/>
    <w:rsid w:val="0081766A"/>
    <w:rsid w:val="00817CF0"/>
    <w:rsid w:val="00817ECD"/>
    <w:rsid w:val="00820938"/>
    <w:rsid w:val="00820A48"/>
    <w:rsid w:val="00820A97"/>
    <w:rsid w:val="00820FBB"/>
    <w:rsid w:val="00821081"/>
    <w:rsid w:val="00821E5B"/>
    <w:rsid w:val="0082224C"/>
    <w:rsid w:val="008256F1"/>
    <w:rsid w:val="00825ACA"/>
    <w:rsid w:val="00826945"/>
    <w:rsid w:val="008269C3"/>
    <w:rsid w:val="00827717"/>
    <w:rsid w:val="00827746"/>
    <w:rsid w:val="00830A16"/>
    <w:rsid w:val="00831D78"/>
    <w:rsid w:val="00831F03"/>
    <w:rsid w:val="00832D66"/>
    <w:rsid w:val="00833401"/>
    <w:rsid w:val="00834B57"/>
    <w:rsid w:val="00835271"/>
    <w:rsid w:val="0083636C"/>
    <w:rsid w:val="00836D52"/>
    <w:rsid w:val="00836E27"/>
    <w:rsid w:val="0084081A"/>
    <w:rsid w:val="00840AAE"/>
    <w:rsid w:val="00841DED"/>
    <w:rsid w:val="00842F30"/>
    <w:rsid w:val="00843712"/>
    <w:rsid w:val="00844467"/>
    <w:rsid w:val="008446F5"/>
    <w:rsid w:val="0084511E"/>
    <w:rsid w:val="00845846"/>
    <w:rsid w:val="0084787E"/>
    <w:rsid w:val="00847B5C"/>
    <w:rsid w:val="0085025C"/>
    <w:rsid w:val="0085066D"/>
    <w:rsid w:val="00850B28"/>
    <w:rsid w:val="00850C43"/>
    <w:rsid w:val="00850E99"/>
    <w:rsid w:val="0085419C"/>
    <w:rsid w:val="00854A67"/>
    <w:rsid w:val="00854D32"/>
    <w:rsid w:val="00854D5C"/>
    <w:rsid w:val="00855C7C"/>
    <w:rsid w:val="0085610E"/>
    <w:rsid w:val="008562BF"/>
    <w:rsid w:val="008567AB"/>
    <w:rsid w:val="0085702F"/>
    <w:rsid w:val="00857041"/>
    <w:rsid w:val="00857CFB"/>
    <w:rsid w:val="00857FE2"/>
    <w:rsid w:val="008601D8"/>
    <w:rsid w:val="008605BB"/>
    <w:rsid w:val="008608CF"/>
    <w:rsid w:val="00860F9F"/>
    <w:rsid w:val="00861A66"/>
    <w:rsid w:val="00862023"/>
    <w:rsid w:val="00862B85"/>
    <w:rsid w:val="00863476"/>
    <w:rsid w:val="008640DE"/>
    <w:rsid w:val="008662E7"/>
    <w:rsid w:val="00866315"/>
    <w:rsid w:val="0086652D"/>
    <w:rsid w:val="00866B14"/>
    <w:rsid w:val="00867E81"/>
    <w:rsid w:val="00870E83"/>
    <w:rsid w:val="008710AE"/>
    <w:rsid w:val="00871994"/>
    <w:rsid w:val="00872300"/>
    <w:rsid w:val="008729FB"/>
    <w:rsid w:val="00872A04"/>
    <w:rsid w:val="00872A5E"/>
    <w:rsid w:val="00874244"/>
    <w:rsid w:val="00874A90"/>
    <w:rsid w:val="00874E6E"/>
    <w:rsid w:val="008762A7"/>
    <w:rsid w:val="008767BE"/>
    <w:rsid w:val="0087705E"/>
    <w:rsid w:val="008776B1"/>
    <w:rsid w:val="00877D05"/>
    <w:rsid w:val="008800A3"/>
    <w:rsid w:val="00881C7B"/>
    <w:rsid w:val="00881D54"/>
    <w:rsid w:val="008828D9"/>
    <w:rsid w:val="00883038"/>
    <w:rsid w:val="0088363A"/>
    <w:rsid w:val="008836C8"/>
    <w:rsid w:val="00883A8C"/>
    <w:rsid w:val="0088448C"/>
    <w:rsid w:val="00885AF9"/>
    <w:rsid w:val="008868B3"/>
    <w:rsid w:val="008904B8"/>
    <w:rsid w:val="008909AA"/>
    <w:rsid w:val="00890E28"/>
    <w:rsid w:val="00893B26"/>
    <w:rsid w:val="00893DCB"/>
    <w:rsid w:val="00894792"/>
    <w:rsid w:val="00894D09"/>
    <w:rsid w:val="00895D14"/>
    <w:rsid w:val="00896437"/>
    <w:rsid w:val="00896A18"/>
    <w:rsid w:val="00896A24"/>
    <w:rsid w:val="0089723D"/>
    <w:rsid w:val="0089731B"/>
    <w:rsid w:val="00897B8A"/>
    <w:rsid w:val="00897EE8"/>
    <w:rsid w:val="008A0F37"/>
    <w:rsid w:val="008A181A"/>
    <w:rsid w:val="008A1BB6"/>
    <w:rsid w:val="008A1DDA"/>
    <w:rsid w:val="008A27BA"/>
    <w:rsid w:val="008A29C4"/>
    <w:rsid w:val="008A2CF0"/>
    <w:rsid w:val="008A3B8A"/>
    <w:rsid w:val="008A3BE0"/>
    <w:rsid w:val="008A3CB2"/>
    <w:rsid w:val="008A4563"/>
    <w:rsid w:val="008A4575"/>
    <w:rsid w:val="008A4CF0"/>
    <w:rsid w:val="008A6F69"/>
    <w:rsid w:val="008A7E69"/>
    <w:rsid w:val="008A7FDE"/>
    <w:rsid w:val="008B05C4"/>
    <w:rsid w:val="008B0601"/>
    <w:rsid w:val="008B18F7"/>
    <w:rsid w:val="008B1EAB"/>
    <w:rsid w:val="008B214B"/>
    <w:rsid w:val="008B352E"/>
    <w:rsid w:val="008B35F1"/>
    <w:rsid w:val="008B4506"/>
    <w:rsid w:val="008B4646"/>
    <w:rsid w:val="008B5DB1"/>
    <w:rsid w:val="008B689F"/>
    <w:rsid w:val="008B6BEE"/>
    <w:rsid w:val="008B7AD8"/>
    <w:rsid w:val="008C0B56"/>
    <w:rsid w:val="008C0EE9"/>
    <w:rsid w:val="008C13B3"/>
    <w:rsid w:val="008C2392"/>
    <w:rsid w:val="008C2CDD"/>
    <w:rsid w:val="008C3330"/>
    <w:rsid w:val="008C36CE"/>
    <w:rsid w:val="008C3B43"/>
    <w:rsid w:val="008C42D5"/>
    <w:rsid w:val="008C46F8"/>
    <w:rsid w:val="008C606A"/>
    <w:rsid w:val="008C68D3"/>
    <w:rsid w:val="008C763D"/>
    <w:rsid w:val="008D0542"/>
    <w:rsid w:val="008D171B"/>
    <w:rsid w:val="008D1C94"/>
    <w:rsid w:val="008D233B"/>
    <w:rsid w:val="008D28A4"/>
    <w:rsid w:val="008D453A"/>
    <w:rsid w:val="008D50D9"/>
    <w:rsid w:val="008D55B7"/>
    <w:rsid w:val="008D648D"/>
    <w:rsid w:val="008D6597"/>
    <w:rsid w:val="008D67C2"/>
    <w:rsid w:val="008D6D61"/>
    <w:rsid w:val="008D7728"/>
    <w:rsid w:val="008D78AB"/>
    <w:rsid w:val="008E05AF"/>
    <w:rsid w:val="008E07D2"/>
    <w:rsid w:val="008E12D2"/>
    <w:rsid w:val="008E2140"/>
    <w:rsid w:val="008E367C"/>
    <w:rsid w:val="008E3E44"/>
    <w:rsid w:val="008E4230"/>
    <w:rsid w:val="008E434A"/>
    <w:rsid w:val="008E669B"/>
    <w:rsid w:val="008E7182"/>
    <w:rsid w:val="008E7271"/>
    <w:rsid w:val="008E74DB"/>
    <w:rsid w:val="008F08E1"/>
    <w:rsid w:val="008F0EA7"/>
    <w:rsid w:val="008F0EE3"/>
    <w:rsid w:val="008F134C"/>
    <w:rsid w:val="008F1391"/>
    <w:rsid w:val="008F32FF"/>
    <w:rsid w:val="008F3683"/>
    <w:rsid w:val="008F369A"/>
    <w:rsid w:val="008F36EB"/>
    <w:rsid w:val="008F4CC2"/>
    <w:rsid w:val="008F4FEF"/>
    <w:rsid w:val="008F6148"/>
    <w:rsid w:val="008F6420"/>
    <w:rsid w:val="008F6A24"/>
    <w:rsid w:val="008F6E24"/>
    <w:rsid w:val="008F7095"/>
    <w:rsid w:val="008F79B8"/>
    <w:rsid w:val="008F7BF1"/>
    <w:rsid w:val="00900EC2"/>
    <w:rsid w:val="0090408F"/>
    <w:rsid w:val="009044AB"/>
    <w:rsid w:val="00904844"/>
    <w:rsid w:val="0090577E"/>
    <w:rsid w:val="00905A7E"/>
    <w:rsid w:val="009069E3"/>
    <w:rsid w:val="00906AA4"/>
    <w:rsid w:val="00906EFF"/>
    <w:rsid w:val="009071A8"/>
    <w:rsid w:val="00910E96"/>
    <w:rsid w:val="0091288F"/>
    <w:rsid w:val="00914C77"/>
    <w:rsid w:val="009153A7"/>
    <w:rsid w:val="00915791"/>
    <w:rsid w:val="00915A3B"/>
    <w:rsid w:val="00915ABA"/>
    <w:rsid w:val="00915C76"/>
    <w:rsid w:val="00915F8C"/>
    <w:rsid w:val="009161BE"/>
    <w:rsid w:val="00916480"/>
    <w:rsid w:val="0091666D"/>
    <w:rsid w:val="00916B52"/>
    <w:rsid w:val="009170FC"/>
    <w:rsid w:val="00917D63"/>
    <w:rsid w:val="0092180B"/>
    <w:rsid w:val="00922233"/>
    <w:rsid w:val="009238A5"/>
    <w:rsid w:val="00923AE7"/>
    <w:rsid w:val="0092430A"/>
    <w:rsid w:val="009248D0"/>
    <w:rsid w:val="00925395"/>
    <w:rsid w:val="009255D2"/>
    <w:rsid w:val="00925748"/>
    <w:rsid w:val="00925BFA"/>
    <w:rsid w:val="00926DC0"/>
    <w:rsid w:val="00931098"/>
    <w:rsid w:val="009310CF"/>
    <w:rsid w:val="009314F7"/>
    <w:rsid w:val="009315E2"/>
    <w:rsid w:val="009316D1"/>
    <w:rsid w:val="0093188F"/>
    <w:rsid w:val="00931A43"/>
    <w:rsid w:val="00931EBB"/>
    <w:rsid w:val="00932871"/>
    <w:rsid w:val="009332C2"/>
    <w:rsid w:val="00933449"/>
    <w:rsid w:val="0093388C"/>
    <w:rsid w:val="009343E2"/>
    <w:rsid w:val="00934534"/>
    <w:rsid w:val="00934C71"/>
    <w:rsid w:val="00935C8B"/>
    <w:rsid w:val="00935CE0"/>
    <w:rsid w:val="00935F93"/>
    <w:rsid w:val="00935FE1"/>
    <w:rsid w:val="009361AB"/>
    <w:rsid w:val="00937780"/>
    <w:rsid w:val="00940F90"/>
    <w:rsid w:val="009419D6"/>
    <w:rsid w:val="00941FA3"/>
    <w:rsid w:val="00942B5A"/>
    <w:rsid w:val="00942BB3"/>
    <w:rsid w:val="0094393A"/>
    <w:rsid w:val="00943C17"/>
    <w:rsid w:val="00944E11"/>
    <w:rsid w:val="009457D0"/>
    <w:rsid w:val="00946E75"/>
    <w:rsid w:val="009506A0"/>
    <w:rsid w:val="0095174D"/>
    <w:rsid w:val="0095231D"/>
    <w:rsid w:val="0095383B"/>
    <w:rsid w:val="00953AE4"/>
    <w:rsid w:val="00953CD6"/>
    <w:rsid w:val="0095412E"/>
    <w:rsid w:val="00955187"/>
    <w:rsid w:val="00955241"/>
    <w:rsid w:val="00955292"/>
    <w:rsid w:val="00955D0F"/>
    <w:rsid w:val="00956910"/>
    <w:rsid w:val="00956D59"/>
    <w:rsid w:val="009574C2"/>
    <w:rsid w:val="0095763F"/>
    <w:rsid w:val="00957AAB"/>
    <w:rsid w:val="0096010C"/>
    <w:rsid w:val="009608B9"/>
    <w:rsid w:val="00960D0A"/>
    <w:rsid w:val="00961134"/>
    <w:rsid w:val="00961E1E"/>
    <w:rsid w:val="00962276"/>
    <w:rsid w:val="009625EE"/>
    <w:rsid w:val="009627FC"/>
    <w:rsid w:val="00962A48"/>
    <w:rsid w:val="00962B2D"/>
    <w:rsid w:val="009639BF"/>
    <w:rsid w:val="00963C59"/>
    <w:rsid w:val="00964244"/>
    <w:rsid w:val="00965743"/>
    <w:rsid w:val="00965CF8"/>
    <w:rsid w:val="00965CFE"/>
    <w:rsid w:val="00965D9D"/>
    <w:rsid w:val="00966848"/>
    <w:rsid w:val="00966AFE"/>
    <w:rsid w:val="0097086C"/>
    <w:rsid w:val="009708AF"/>
    <w:rsid w:val="00970A48"/>
    <w:rsid w:val="0097140A"/>
    <w:rsid w:val="009715FB"/>
    <w:rsid w:val="00971C06"/>
    <w:rsid w:val="0097201E"/>
    <w:rsid w:val="009721AB"/>
    <w:rsid w:val="009738FD"/>
    <w:rsid w:val="00973A8F"/>
    <w:rsid w:val="009748DF"/>
    <w:rsid w:val="00975D4C"/>
    <w:rsid w:val="0097642F"/>
    <w:rsid w:val="009770C7"/>
    <w:rsid w:val="009774E7"/>
    <w:rsid w:val="00977959"/>
    <w:rsid w:val="00977994"/>
    <w:rsid w:val="00977F93"/>
    <w:rsid w:val="00980057"/>
    <w:rsid w:val="009802AD"/>
    <w:rsid w:val="0098035F"/>
    <w:rsid w:val="009803FB"/>
    <w:rsid w:val="009842EE"/>
    <w:rsid w:val="00984675"/>
    <w:rsid w:val="009857CA"/>
    <w:rsid w:val="00985918"/>
    <w:rsid w:val="00985CCD"/>
    <w:rsid w:val="00987915"/>
    <w:rsid w:val="00990138"/>
    <w:rsid w:val="0099063C"/>
    <w:rsid w:val="00990755"/>
    <w:rsid w:val="009910ED"/>
    <w:rsid w:val="0099189B"/>
    <w:rsid w:val="00991B27"/>
    <w:rsid w:val="0099248E"/>
    <w:rsid w:val="009924C1"/>
    <w:rsid w:val="00992F76"/>
    <w:rsid w:val="00993A83"/>
    <w:rsid w:val="00995528"/>
    <w:rsid w:val="009957CF"/>
    <w:rsid w:val="0099590B"/>
    <w:rsid w:val="0099658E"/>
    <w:rsid w:val="0099665B"/>
    <w:rsid w:val="00997159"/>
    <w:rsid w:val="0099791F"/>
    <w:rsid w:val="0099799F"/>
    <w:rsid w:val="009A00AE"/>
    <w:rsid w:val="009A0890"/>
    <w:rsid w:val="009A10EF"/>
    <w:rsid w:val="009A27F9"/>
    <w:rsid w:val="009A314A"/>
    <w:rsid w:val="009A36EB"/>
    <w:rsid w:val="009A47BA"/>
    <w:rsid w:val="009A5BFF"/>
    <w:rsid w:val="009A6150"/>
    <w:rsid w:val="009A6A36"/>
    <w:rsid w:val="009A6B56"/>
    <w:rsid w:val="009A6C85"/>
    <w:rsid w:val="009B03F5"/>
    <w:rsid w:val="009B0BD9"/>
    <w:rsid w:val="009B0CD9"/>
    <w:rsid w:val="009B0CF3"/>
    <w:rsid w:val="009B0E77"/>
    <w:rsid w:val="009B11AD"/>
    <w:rsid w:val="009B1A56"/>
    <w:rsid w:val="009B242B"/>
    <w:rsid w:val="009B2AB5"/>
    <w:rsid w:val="009B3364"/>
    <w:rsid w:val="009B3D6E"/>
    <w:rsid w:val="009B415A"/>
    <w:rsid w:val="009B5B8D"/>
    <w:rsid w:val="009B5DE4"/>
    <w:rsid w:val="009B62E4"/>
    <w:rsid w:val="009B7968"/>
    <w:rsid w:val="009B7DD7"/>
    <w:rsid w:val="009C0488"/>
    <w:rsid w:val="009C0C27"/>
    <w:rsid w:val="009C1D6D"/>
    <w:rsid w:val="009C24A7"/>
    <w:rsid w:val="009C279B"/>
    <w:rsid w:val="009C3018"/>
    <w:rsid w:val="009C3933"/>
    <w:rsid w:val="009C4194"/>
    <w:rsid w:val="009C46A4"/>
    <w:rsid w:val="009C4EC7"/>
    <w:rsid w:val="009C565F"/>
    <w:rsid w:val="009C59C0"/>
    <w:rsid w:val="009C66E2"/>
    <w:rsid w:val="009C6A7B"/>
    <w:rsid w:val="009C6AA3"/>
    <w:rsid w:val="009C6B2B"/>
    <w:rsid w:val="009C7592"/>
    <w:rsid w:val="009C7AC7"/>
    <w:rsid w:val="009D01C7"/>
    <w:rsid w:val="009D0CDA"/>
    <w:rsid w:val="009D194B"/>
    <w:rsid w:val="009D1CF0"/>
    <w:rsid w:val="009D1F6F"/>
    <w:rsid w:val="009D22F0"/>
    <w:rsid w:val="009D40F4"/>
    <w:rsid w:val="009D544C"/>
    <w:rsid w:val="009D564A"/>
    <w:rsid w:val="009D5D19"/>
    <w:rsid w:val="009D6D69"/>
    <w:rsid w:val="009D71E7"/>
    <w:rsid w:val="009E076B"/>
    <w:rsid w:val="009E0BFC"/>
    <w:rsid w:val="009E0EA6"/>
    <w:rsid w:val="009E14EF"/>
    <w:rsid w:val="009E1EFC"/>
    <w:rsid w:val="009E2AB3"/>
    <w:rsid w:val="009E36BA"/>
    <w:rsid w:val="009E3B95"/>
    <w:rsid w:val="009E3DA5"/>
    <w:rsid w:val="009E418A"/>
    <w:rsid w:val="009E4AAD"/>
    <w:rsid w:val="009E5729"/>
    <w:rsid w:val="009E6472"/>
    <w:rsid w:val="009F0CB6"/>
    <w:rsid w:val="009F1226"/>
    <w:rsid w:val="009F21C3"/>
    <w:rsid w:val="009F26C9"/>
    <w:rsid w:val="009F2B52"/>
    <w:rsid w:val="009F3388"/>
    <w:rsid w:val="009F36D4"/>
    <w:rsid w:val="009F46C4"/>
    <w:rsid w:val="009F5099"/>
    <w:rsid w:val="009F5989"/>
    <w:rsid w:val="009F5C03"/>
    <w:rsid w:val="009F60C3"/>
    <w:rsid w:val="009F617E"/>
    <w:rsid w:val="009F6191"/>
    <w:rsid w:val="009F6886"/>
    <w:rsid w:val="009F68CA"/>
    <w:rsid w:val="009F6F29"/>
    <w:rsid w:val="009F73A3"/>
    <w:rsid w:val="009F7C0A"/>
    <w:rsid w:val="009F7F20"/>
    <w:rsid w:val="00A01757"/>
    <w:rsid w:val="00A01D6E"/>
    <w:rsid w:val="00A01E6C"/>
    <w:rsid w:val="00A01EAC"/>
    <w:rsid w:val="00A0218F"/>
    <w:rsid w:val="00A022F3"/>
    <w:rsid w:val="00A02659"/>
    <w:rsid w:val="00A02892"/>
    <w:rsid w:val="00A04043"/>
    <w:rsid w:val="00A040B9"/>
    <w:rsid w:val="00A04DFA"/>
    <w:rsid w:val="00A05DB2"/>
    <w:rsid w:val="00A06146"/>
    <w:rsid w:val="00A065FC"/>
    <w:rsid w:val="00A06CCB"/>
    <w:rsid w:val="00A079AE"/>
    <w:rsid w:val="00A10E8A"/>
    <w:rsid w:val="00A131B2"/>
    <w:rsid w:val="00A13222"/>
    <w:rsid w:val="00A13772"/>
    <w:rsid w:val="00A137B0"/>
    <w:rsid w:val="00A1412A"/>
    <w:rsid w:val="00A16285"/>
    <w:rsid w:val="00A20789"/>
    <w:rsid w:val="00A217A9"/>
    <w:rsid w:val="00A222E5"/>
    <w:rsid w:val="00A22893"/>
    <w:rsid w:val="00A228DA"/>
    <w:rsid w:val="00A2303B"/>
    <w:rsid w:val="00A23193"/>
    <w:rsid w:val="00A23CD3"/>
    <w:rsid w:val="00A24742"/>
    <w:rsid w:val="00A2571E"/>
    <w:rsid w:val="00A257AA"/>
    <w:rsid w:val="00A2605B"/>
    <w:rsid w:val="00A26DF8"/>
    <w:rsid w:val="00A27B98"/>
    <w:rsid w:val="00A27D32"/>
    <w:rsid w:val="00A31150"/>
    <w:rsid w:val="00A31549"/>
    <w:rsid w:val="00A31888"/>
    <w:rsid w:val="00A31B94"/>
    <w:rsid w:val="00A32236"/>
    <w:rsid w:val="00A323F4"/>
    <w:rsid w:val="00A32D2D"/>
    <w:rsid w:val="00A33FF7"/>
    <w:rsid w:val="00A34742"/>
    <w:rsid w:val="00A34B0A"/>
    <w:rsid w:val="00A34C19"/>
    <w:rsid w:val="00A3585B"/>
    <w:rsid w:val="00A35986"/>
    <w:rsid w:val="00A35A4B"/>
    <w:rsid w:val="00A35C1D"/>
    <w:rsid w:val="00A36705"/>
    <w:rsid w:val="00A368E0"/>
    <w:rsid w:val="00A37DAB"/>
    <w:rsid w:val="00A40475"/>
    <w:rsid w:val="00A40E04"/>
    <w:rsid w:val="00A41274"/>
    <w:rsid w:val="00A41858"/>
    <w:rsid w:val="00A41913"/>
    <w:rsid w:val="00A4233C"/>
    <w:rsid w:val="00A4235A"/>
    <w:rsid w:val="00A42715"/>
    <w:rsid w:val="00A4279A"/>
    <w:rsid w:val="00A43806"/>
    <w:rsid w:val="00A46EF0"/>
    <w:rsid w:val="00A47DF3"/>
    <w:rsid w:val="00A47F9A"/>
    <w:rsid w:val="00A50261"/>
    <w:rsid w:val="00A5062A"/>
    <w:rsid w:val="00A507B3"/>
    <w:rsid w:val="00A50C1A"/>
    <w:rsid w:val="00A516D6"/>
    <w:rsid w:val="00A51B4A"/>
    <w:rsid w:val="00A51F8C"/>
    <w:rsid w:val="00A52008"/>
    <w:rsid w:val="00A5208F"/>
    <w:rsid w:val="00A520AE"/>
    <w:rsid w:val="00A5273D"/>
    <w:rsid w:val="00A529F2"/>
    <w:rsid w:val="00A53A24"/>
    <w:rsid w:val="00A53A51"/>
    <w:rsid w:val="00A54D6F"/>
    <w:rsid w:val="00A5603D"/>
    <w:rsid w:val="00A56D38"/>
    <w:rsid w:val="00A61224"/>
    <w:rsid w:val="00A615D8"/>
    <w:rsid w:val="00A6193B"/>
    <w:rsid w:val="00A62F78"/>
    <w:rsid w:val="00A62F9E"/>
    <w:rsid w:val="00A63018"/>
    <w:rsid w:val="00A637BB"/>
    <w:rsid w:val="00A63F82"/>
    <w:rsid w:val="00A64219"/>
    <w:rsid w:val="00A643CF"/>
    <w:rsid w:val="00A64B28"/>
    <w:rsid w:val="00A653E0"/>
    <w:rsid w:val="00A65C14"/>
    <w:rsid w:val="00A66EAC"/>
    <w:rsid w:val="00A70009"/>
    <w:rsid w:val="00A70D1C"/>
    <w:rsid w:val="00A70DB3"/>
    <w:rsid w:val="00A715FD"/>
    <w:rsid w:val="00A73222"/>
    <w:rsid w:val="00A73444"/>
    <w:rsid w:val="00A73CF4"/>
    <w:rsid w:val="00A74F90"/>
    <w:rsid w:val="00A751FE"/>
    <w:rsid w:val="00A7570B"/>
    <w:rsid w:val="00A75806"/>
    <w:rsid w:val="00A75D49"/>
    <w:rsid w:val="00A76110"/>
    <w:rsid w:val="00A77001"/>
    <w:rsid w:val="00A772E6"/>
    <w:rsid w:val="00A77D5E"/>
    <w:rsid w:val="00A81766"/>
    <w:rsid w:val="00A82115"/>
    <w:rsid w:val="00A8288D"/>
    <w:rsid w:val="00A82CD3"/>
    <w:rsid w:val="00A84973"/>
    <w:rsid w:val="00A84CDC"/>
    <w:rsid w:val="00A84D24"/>
    <w:rsid w:val="00A85607"/>
    <w:rsid w:val="00A85827"/>
    <w:rsid w:val="00A86511"/>
    <w:rsid w:val="00A87AEA"/>
    <w:rsid w:val="00A87DA3"/>
    <w:rsid w:val="00A90BA7"/>
    <w:rsid w:val="00A90F0F"/>
    <w:rsid w:val="00A92E49"/>
    <w:rsid w:val="00A935AD"/>
    <w:rsid w:val="00A95379"/>
    <w:rsid w:val="00A953F0"/>
    <w:rsid w:val="00A96E4C"/>
    <w:rsid w:val="00A96F59"/>
    <w:rsid w:val="00A9730C"/>
    <w:rsid w:val="00A9761C"/>
    <w:rsid w:val="00A97D57"/>
    <w:rsid w:val="00AA01D2"/>
    <w:rsid w:val="00AA0649"/>
    <w:rsid w:val="00AA1840"/>
    <w:rsid w:val="00AA1FD7"/>
    <w:rsid w:val="00AA2EA6"/>
    <w:rsid w:val="00AA2F76"/>
    <w:rsid w:val="00AA39F9"/>
    <w:rsid w:val="00AA3D44"/>
    <w:rsid w:val="00AA3E06"/>
    <w:rsid w:val="00AA4521"/>
    <w:rsid w:val="00AA50EB"/>
    <w:rsid w:val="00AA6B60"/>
    <w:rsid w:val="00AA6E35"/>
    <w:rsid w:val="00AA7D93"/>
    <w:rsid w:val="00AB039A"/>
    <w:rsid w:val="00AB0849"/>
    <w:rsid w:val="00AB15E8"/>
    <w:rsid w:val="00AB2162"/>
    <w:rsid w:val="00AB5E7F"/>
    <w:rsid w:val="00AB61C4"/>
    <w:rsid w:val="00AC1B19"/>
    <w:rsid w:val="00AC20EA"/>
    <w:rsid w:val="00AC2C1F"/>
    <w:rsid w:val="00AC3615"/>
    <w:rsid w:val="00AC46EF"/>
    <w:rsid w:val="00AC4F52"/>
    <w:rsid w:val="00AC4FB9"/>
    <w:rsid w:val="00AC7A0F"/>
    <w:rsid w:val="00AC7A5E"/>
    <w:rsid w:val="00AD1AFC"/>
    <w:rsid w:val="00AD4568"/>
    <w:rsid w:val="00AD4907"/>
    <w:rsid w:val="00AD4AFC"/>
    <w:rsid w:val="00AD5725"/>
    <w:rsid w:val="00AD5940"/>
    <w:rsid w:val="00AD5AED"/>
    <w:rsid w:val="00AD6142"/>
    <w:rsid w:val="00AD6774"/>
    <w:rsid w:val="00AD6C1F"/>
    <w:rsid w:val="00AD6D19"/>
    <w:rsid w:val="00AD7A23"/>
    <w:rsid w:val="00AD7C5C"/>
    <w:rsid w:val="00AE0303"/>
    <w:rsid w:val="00AE0A55"/>
    <w:rsid w:val="00AE15EF"/>
    <w:rsid w:val="00AE1D25"/>
    <w:rsid w:val="00AE20D5"/>
    <w:rsid w:val="00AE2671"/>
    <w:rsid w:val="00AE3A6E"/>
    <w:rsid w:val="00AE4500"/>
    <w:rsid w:val="00AE460C"/>
    <w:rsid w:val="00AE4826"/>
    <w:rsid w:val="00AE4AEC"/>
    <w:rsid w:val="00AE58F7"/>
    <w:rsid w:val="00AE5F97"/>
    <w:rsid w:val="00AE6B11"/>
    <w:rsid w:val="00AE6C5D"/>
    <w:rsid w:val="00AE70B7"/>
    <w:rsid w:val="00AE7304"/>
    <w:rsid w:val="00AF08AA"/>
    <w:rsid w:val="00AF15EC"/>
    <w:rsid w:val="00AF3128"/>
    <w:rsid w:val="00AF36F8"/>
    <w:rsid w:val="00AF3C4F"/>
    <w:rsid w:val="00AF3C68"/>
    <w:rsid w:val="00AF4267"/>
    <w:rsid w:val="00AF4833"/>
    <w:rsid w:val="00AF50F6"/>
    <w:rsid w:val="00AF6D57"/>
    <w:rsid w:val="00AF7235"/>
    <w:rsid w:val="00AF7408"/>
    <w:rsid w:val="00B01441"/>
    <w:rsid w:val="00B01A15"/>
    <w:rsid w:val="00B022A0"/>
    <w:rsid w:val="00B04DEE"/>
    <w:rsid w:val="00B04F24"/>
    <w:rsid w:val="00B04F60"/>
    <w:rsid w:val="00B06A90"/>
    <w:rsid w:val="00B06ACF"/>
    <w:rsid w:val="00B11322"/>
    <w:rsid w:val="00B120F6"/>
    <w:rsid w:val="00B12267"/>
    <w:rsid w:val="00B12DC8"/>
    <w:rsid w:val="00B12FB4"/>
    <w:rsid w:val="00B132A2"/>
    <w:rsid w:val="00B13A46"/>
    <w:rsid w:val="00B13DAD"/>
    <w:rsid w:val="00B1428E"/>
    <w:rsid w:val="00B1475A"/>
    <w:rsid w:val="00B148DE"/>
    <w:rsid w:val="00B15BE6"/>
    <w:rsid w:val="00B1608D"/>
    <w:rsid w:val="00B1675A"/>
    <w:rsid w:val="00B16D06"/>
    <w:rsid w:val="00B2028C"/>
    <w:rsid w:val="00B208B6"/>
    <w:rsid w:val="00B20D31"/>
    <w:rsid w:val="00B216C3"/>
    <w:rsid w:val="00B21FA9"/>
    <w:rsid w:val="00B23997"/>
    <w:rsid w:val="00B2594B"/>
    <w:rsid w:val="00B2610E"/>
    <w:rsid w:val="00B26E5C"/>
    <w:rsid w:val="00B272DE"/>
    <w:rsid w:val="00B27D87"/>
    <w:rsid w:val="00B3082F"/>
    <w:rsid w:val="00B316CE"/>
    <w:rsid w:val="00B31C27"/>
    <w:rsid w:val="00B31DD6"/>
    <w:rsid w:val="00B31F68"/>
    <w:rsid w:val="00B32449"/>
    <w:rsid w:val="00B3277E"/>
    <w:rsid w:val="00B32D7F"/>
    <w:rsid w:val="00B33841"/>
    <w:rsid w:val="00B33A99"/>
    <w:rsid w:val="00B33CBD"/>
    <w:rsid w:val="00B34107"/>
    <w:rsid w:val="00B34468"/>
    <w:rsid w:val="00B35C17"/>
    <w:rsid w:val="00B35EDB"/>
    <w:rsid w:val="00B367FF"/>
    <w:rsid w:val="00B36CB3"/>
    <w:rsid w:val="00B37276"/>
    <w:rsid w:val="00B40308"/>
    <w:rsid w:val="00B40892"/>
    <w:rsid w:val="00B40EC6"/>
    <w:rsid w:val="00B41A02"/>
    <w:rsid w:val="00B42800"/>
    <w:rsid w:val="00B42932"/>
    <w:rsid w:val="00B438EA"/>
    <w:rsid w:val="00B44A90"/>
    <w:rsid w:val="00B45E9F"/>
    <w:rsid w:val="00B46452"/>
    <w:rsid w:val="00B47F1F"/>
    <w:rsid w:val="00B507CC"/>
    <w:rsid w:val="00B507D4"/>
    <w:rsid w:val="00B50FB1"/>
    <w:rsid w:val="00B5114C"/>
    <w:rsid w:val="00B5144C"/>
    <w:rsid w:val="00B514FE"/>
    <w:rsid w:val="00B522BF"/>
    <w:rsid w:val="00B52E54"/>
    <w:rsid w:val="00B53336"/>
    <w:rsid w:val="00B54625"/>
    <w:rsid w:val="00B54BED"/>
    <w:rsid w:val="00B5623C"/>
    <w:rsid w:val="00B573F1"/>
    <w:rsid w:val="00B60D97"/>
    <w:rsid w:val="00B60F81"/>
    <w:rsid w:val="00B627AF"/>
    <w:rsid w:val="00B62968"/>
    <w:rsid w:val="00B629AD"/>
    <w:rsid w:val="00B62BE7"/>
    <w:rsid w:val="00B631B9"/>
    <w:rsid w:val="00B640A2"/>
    <w:rsid w:val="00B65074"/>
    <w:rsid w:val="00B662B7"/>
    <w:rsid w:val="00B6660D"/>
    <w:rsid w:val="00B70249"/>
    <w:rsid w:val="00B725DC"/>
    <w:rsid w:val="00B72A17"/>
    <w:rsid w:val="00B72CD0"/>
    <w:rsid w:val="00B73331"/>
    <w:rsid w:val="00B733E3"/>
    <w:rsid w:val="00B735E2"/>
    <w:rsid w:val="00B73DB0"/>
    <w:rsid w:val="00B75653"/>
    <w:rsid w:val="00B76F03"/>
    <w:rsid w:val="00B771D6"/>
    <w:rsid w:val="00B8051E"/>
    <w:rsid w:val="00B81505"/>
    <w:rsid w:val="00B81563"/>
    <w:rsid w:val="00B81E31"/>
    <w:rsid w:val="00B81E9C"/>
    <w:rsid w:val="00B82C1F"/>
    <w:rsid w:val="00B83833"/>
    <w:rsid w:val="00B8436E"/>
    <w:rsid w:val="00B86168"/>
    <w:rsid w:val="00B8631B"/>
    <w:rsid w:val="00B87652"/>
    <w:rsid w:val="00B87902"/>
    <w:rsid w:val="00B913FB"/>
    <w:rsid w:val="00B91463"/>
    <w:rsid w:val="00B92604"/>
    <w:rsid w:val="00B92DE9"/>
    <w:rsid w:val="00B93343"/>
    <w:rsid w:val="00B93B4A"/>
    <w:rsid w:val="00B93D81"/>
    <w:rsid w:val="00B94499"/>
    <w:rsid w:val="00B95333"/>
    <w:rsid w:val="00B95895"/>
    <w:rsid w:val="00B97926"/>
    <w:rsid w:val="00B97E2D"/>
    <w:rsid w:val="00BA0F7F"/>
    <w:rsid w:val="00BA11D7"/>
    <w:rsid w:val="00BA449E"/>
    <w:rsid w:val="00BA6FDE"/>
    <w:rsid w:val="00BB02FF"/>
    <w:rsid w:val="00BB08D2"/>
    <w:rsid w:val="00BB13C5"/>
    <w:rsid w:val="00BB24E3"/>
    <w:rsid w:val="00BB25B1"/>
    <w:rsid w:val="00BB2BB5"/>
    <w:rsid w:val="00BB2C30"/>
    <w:rsid w:val="00BB2DE6"/>
    <w:rsid w:val="00BB499E"/>
    <w:rsid w:val="00BB4CDD"/>
    <w:rsid w:val="00BB4EF3"/>
    <w:rsid w:val="00BB4F79"/>
    <w:rsid w:val="00BB6A0F"/>
    <w:rsid w:val="00BB6EEE"/>
    <w:rsid w:val="00BB76EA"/>
    <w:rsid w:val="00BC0694"/>
    <w:rsid w:val="00BC0AB4"/>
    <w:rsid w:val="00BC1035"/>
    <w:rsid w:val="00BC165D"/>
    <w:rsid w:val="00BC167D"/>
    <w:rsid w:val="00BC16A4"/>
    <w:rsid w:val="00BC1FB8"/>
    <w:rsid w:val="00BC2295"/>
    <w:rsid w:val="00BC2328"/>
    <w:rsid w:val="00BC2CD3"/>
    <w:rsid w:val="00BC30B5"/>
    <w:rsid w:val="00BC312C"/>
    <w:rsid w:val="00BC45B1"/>
    <w:rsid w:val="00BC49F7"/>
    <w:rsid w:val="00BC5290"/>
    <w:rsid w:val="00BC61A9"/>
    <w:rsid w:val="00BC665B"/>
    <w:rsid w:val="00BC6FB4"/>
    <w:rsid w:val="00BC71B4"/>
    <w:rsid w:val="00BC7BD6"/>
    <w:rsid w:val="00BD0585"/>
    <w:rsid w:val="00BD1037"/>
    <w:rsid w:val="00BD1B64"/>
    <w:rsid w:val="00BD1F33"/>
    <w:rsid w:val="00BD221C"/>
    <w:rsid w:val="00BD2CC1"/>
    <w:rsid w:val="00BD2D37"/>
    <w:rsid w:val="00BD2F11"/>
    <w:rsid w:val="00BD521C"/>
    <w:rsid w:val="00BD552D"/>
    <w:rsid w:val="00BD68C5"/>
    <w:rsid w:val="00BD7385"/>
    <w:rsid w:val="00BD76AB"/>
    <w:rsid w:val="00BD7B0A"/>
    <w:rsid w:val="00BE1767"/>
    <w:rsid w:val="00BE1EDF"/>
    <w:rsid w:val="00BE2110"/>
    <w:rsid w:val="00BE2309"/>
    <w:rsid w:val="00BE27FB"/>
    <w:rsid w:val="00BE2FA8"/>
    <w:rsid w:val="00BE311F"/>
    <w:rsid w:val="00BE4122"/>
    <w:rsid w:val="00BE4AFB"/>
    <w:rsid w:val="00BE4B34"/>
    <w:rsid w:val="00BE593D"/>
    <w:rsid w:val="00BE5945"/>
    <w:rsid w:val="00BE5BE1"/>
    <w:rsid w:val="00BE66FB"/>
    <w:rsid w:val="00BE69B8"/>
    <w:rsid w:val="00BE6C33"/>
    <w:rsid w:val="00BF03B4"/>
    <w:rsid w:val="00BF0B9D"/>
    <w:rsid w:val="00BF16A3"/>
    <w:rsid w:val="00BF1C2A"/>
    <w:rsid w:val="00BF30A1"/>
    <w:rsid w:val="00BF40FF"/>
    <w:rsid w:val="00BF41C9"/>
    <w:rsid w:val="00BF42D1"/>
    <w:rsid w:val="00BF4327"/>
    <w:rsid w:val="00BF580A"/>
    <w:rsid w:val="00BF5AE1"/>
    <w:rsid w:val="00BF5B0D"/>
    <w:rsid w:val="00BF638C"/>
    <w:rsid w:val="00BF6B4E"/>
    <w:rsid w:val="00BF6F64"/>
    <w:rsid w:val="00BF734A"/>
    <w:rsid w:val="00BF7D7F"/>
    <w:rsid w:val="00C00D98"/>
    <w:rsid w:val="00C0164F"/>
    <w:rsid w:val="00C01773"/>
    <w:rsid w:val="00C0238E"/>
    <w:rsid w:val="00C02738"/>
    <w:rsid w:val="00C02F7D"/>
    <w:rsid w:val="00C02FC4"/>
    <w:rsid w:val="00C0323F"/>
    <w:rsid w:val="00C046D5"/>
    <w:rsid w:val="00C04A3B"/>
    <w:rsid w:val="00C04AA7"/>
    <w:rsid w:val="00C04C56"/>
    <w:rsid w:val="00C058D0"/>
    <w:rsid w:val="00C05B48"/>
    <w:rsid w:val="00C05EDF"/>
    <w:rsid w:val="00C06223"/>
    <w:rsid w:val="00C06798"/>
    <w:rsid w:val="00C06DC2"/>
    <w:rsid w:val="00C10636"/>
    <w:rsid w:val="00C11357"/>
    <w:rsid w:val="00C117CE"/>
    <w:rsid w:val="00C13947"/>
    <w:rsid w:val="00C14FBE"/>
    <w:rsid w:val="00C153B5"/>
    <w:rsid w:val="00C15865"/>
    <w:rsid w:val="00C173C5"/>
    <w:rsid w:val="00C17650"/>
    <w:rsid w:val="00C17DED"/>
    <w:rsid w:val="00C20654"/>
    <w:rsid w:val="00C2079D"/>
    <w:rsid w:val="00C20AFB"/>
    <w:rsid w:val="00C212DD"/>
    <w:rsid w:val="00C22650"/>
    <w:rsid w:val="00C22CB6"/>
    <w:rsid w:val="00C23678"/>
    <w:rsid w:val="00C23A72"/>
    <w:rsid w:val="00C23E1A"/>
    <w:rsid w:val="00C23F77"/>
    <w:rsid w:val="00C24154"/>
    <w:rsid w:val="00C241E0"/>
    <w:rsid w:val="00C241EC"/>
    <w:rsid w:val="00C24DB2"/>
    <w:rsid w:val="00C259E6"/>
    <w:rsid w:val="00C262C0"/>
    <w:rsid w:val="00C26635"/>
    <w:rsid w:val="00C26F10"/>
    <w:rsid w:val="00C26F9D"/>
    <w:rsid w:val="00C27738"/>
    <w:rsid w:val="00C277ED"/>
    <w:rsid w:val="00C307F1"/>
    <w:rsid w:val="00C31128"/>
    <w:rsid w:val="00C311FA"/>
    <w:rsid w:val="00C31958"/>
    <w:rsid w:val="00C327FB"/>
    <w:rsid w:val="00C329A5"/>
    <w:rsid w:val="00C34F5F"/>
    <w:rsid w:val="00C35527"/>
    <w:rsid w:val="00C35947"/>
    <w:rsid w:val="00C36135"/>
    <w:rsid w:val="00C36A63"/>
    <w:rsid w:val="00C377AB"/>
    <w:rsid w:val="00C414F0"/>
    <w:rsid w:val="00C4159C"/>
    <w:rsid w:val="00C41CDD"/>
    <w:rsid w:val="00C420A5"/>
    <w:rsid w:val="00C42233"/>
    <w:rsid w:val="00C430D8"/>
    <w:rsid w:val="00C4427A"/>
    <w:rsid w:val="00C44918"/>
    <w:rsid w:val="00C453E9"/>
    <w:rsid w:val="00C46EE8"/>
    <w:rsid w:val="00C50F5A"/>
    <w:rsid w:val="00C51A89"/>
    <w:rsid w:val="00C52A1A"/>
    <w:rsid w:val="00C52DF4"/>
    <w:rsid w:val="00C53794"/>
    <w:rsid w:val="00C543D6"/>
    <w:rsid w:val="00C5562A"/>
    <w:rsid w:val="00C55C25"/>
    <w:rsid w:val="00C55C72"/>
    <w:rsid w:val="00C55F18"/>
    <w:rsid w:val="00C56592"/>
    <w:rsid w:val="00C578F8"/>
    <w:rsid w:val="00C616BB"/>
    <w:rsid w:val="00C6268A"/>
    <w:rsid w:val="00C62D8A"/>
    <w:rsid w:val="00C63906"/>
    <w:rsid w:val="00C6451F"/>
    <w:rsid w:val="00C64970"/>
    <w:rsid w:val="00C66921"/>
    <w:rsid w:val="00C67AAF"/>
    <w:rsid w:val="00C70CDA"/>
    <w:rsid w:val="00C70D85"/>
    <w:rsid w:val="00C70DA0"/>
    <w:rsid w:val="00C71661"/>
    <w:rsid w:val="00C717D1"/>
    <w:rsid w:val="00C7350D"/>
    <w:rsid w:val="00C74056"/>
    <w:rsid w:val="00C741C9"/>
    <w:rsid w:val="00C74607"/>
    <w:rsid w:val="00C75C4F"/>
    <w:rsid w:val="00C75D67"/>
    <w:rsid w:val="00C777F6"/>
    <w:rsid w:val="00C81643"/>
    <w:rsid w:val="00C818D5"/>
    <w:rsid w:val="00C820D5"/>
    <w:rsid w:val="00C8250D"/>
    <w:rsid w:val="00C82AD9"/>
    <w:rsid w:val="00C83693"/>
    <w:rsid w:val="00C83828"/>
    <w:rsid w:val="00C83ED5"/>
    <w:rsid w:val="00C847AA"/>
    <w:rsid w:val="00C84DE8"/>
    <w:rsid w:val="00C8684D"/>
    <w:rsid w:val="00C873D3"/>
    <w:rsid w:val="00C874FA"/>
    <w:rsid w:val="00C8751D"/>
    <w:rsid w:val="00C87C84"/>
    <w:rsid w:val="00C87D76"/>
    <w:rsid w:val="00C90880"/>
    <w:rsid w:val="00C908AF"/>
    <w:rsid w:val="00C9126B"/>
    <w:rsid w:val="00C91429"/>
    <w:rsid w:val="00C91558"/>
    <w:rsid w:val="00C91DD7"/>
    <w:rsid w:val="00C92290"/>
    <w:rsid w:val="00C92EF6"/>
    <w:rsid w:val="00C94DCB"/>
    <w:rsid w:val="00C9758A"/>
    <w:rsid w:val="00C97D0B"/>
    <w:rsid w:val="00C97EEA"/>
    <w:rsid w:val="00C97F18"/>
    <w:rsid w:val="00CA1CEF"/>
    <w:rsid w:val="00CA26C5"/>
    <w:rsid w:val="00CA2A5A"/>
    <w:rsid w:val="00CA56DB"/>
    <w:rsid w:val="00CA61C9"/>
    <w:rsid w:val="00CA722D"/>
    <w:rsid w:val="00CA79CE"/>
    <w:rsid w:val="00CB07D4"/>
    <w:rsid w:val="00CB0EB0"/>
    <w:rsid w:val="00CB10E0"/>
    <w:rsid w:val="00CB13EA"/>
    <w:rsid w:val="00CB1CA8"/>
    <w:rsid w:val="00CB2F6E"/>
    <w:rsid w:val="00CB3722"/>
    <w:rsid w:val="00CB3ABA"/>
    <w:rsid w:val="00CB3DF5"/>
    <w:rsid w:val="00CB3E19"/>
    <w:rsid w:val="00CB3E2D"/>
    <w:rsid w:val="00CB439B"/>
    <w:rsid w:val="00CB4406"/>
    <w:rsid w:val="00CB4703"/>
    <w:rsid w:val="00CB47AF"/>
    <w:rsid w:val="00CB4803"/>
    <w:rsid w:val="00CB4AC3"/>
    <w:rsid w:val="00CB6D89"/>
    <w:rsid w:val="00CB7742"/>
    <w:rsid w:val="00CB7DDF"/>
    <w:rsid w:val="00CC2C2C"/>
    <w:rsid w:val="00CC36D7"/>
    <w:rsid w:val="00CC39C9"/>
    <w:rsid w:val="00CC4079"/>
    <w:rsid w:val="00CC4526"/>
    <w:rsid w:val="00CC4918"/>
    <w:rsid w:val="00CC562E"/>
    <w:rsid w:val="00CC62C4"/>
    <w:rsid w:val="00CC6590"/>
    <w:rsid w:val="00CC6A8B"/>
    <w:rsid w:val="00CC775C"/>
    <w:rsid w:val="00CD016F"/>
    <w:rsid w:val="00CD021A"/>
    <w:rsid w:val="00CD029F"/>
    <w:rsid w:val="00CD0C4B"/>
    <w:rsid w:val="00CD1FE1"/>
    <w:rsid w:val="00CD2C8B"/>
    <w:rsid w:val="00CD2E10"/>
    <w:rsid w:val="00CD33FD"/>
    <w:rsid w:val="00CD3DBF"/>
    <w:rsid w:val="00CD461B"/>
    <w:rsid w:val="00CD53D2"/>
    <w:rsid w:val="00CD54D8"/>
    <w:rsid w:val="00CD6152"/>
    <w:rsid w:val="00CD6E99"/>
    <w:rsid w:val="00CE09CD"/>
    <w:rsid w:val="00CE179C"/>
    <w:rsid w:val="00CE25AF"/>
    <w:rsid w:val="00CE30F1"/>
    <w:rsid w:val="00CE33FB"/>
    <w:rsid w:val="00CE481B"/>
    <w:rsid w:val="00CE4BE1"/>
    <w:rsid w:val="00CE5FA7"/>
    <w:rsid w:val="00CE6A15"/>
    <w:rsid w:val="00CE6D76"/>
    <w:rsid w:val="00CE717D"/>
    <w:rsid w:val="00CE7599"/>
    <w:rsid w:val="00CE7DFF"/>
    <w:rsid w:val="00CE7E9F"/>
    <w:rsid w:val="00CF0177"/>
    <w:rsid w:val="00CF0644"/>
    <w:rsid w:val="00CF15CF"/>
    <w:rsid w:val="00CF1A76"/>
    <w:rsid w:val="00CF3670"/>
    <w:rsid w:val="00CF3A05"/>
    <w:rsid w:val="00CF6070"/>
    <w:rsid w:val="00CF62EE"/>
    <w:rsid w:val="00CF67F0"/>
    <w:rsid w:val="00CF7115"/>
    <w:rsid w:val="00CF755C"/>
    <w:rsid w:val="00D002BB"/>
    <w:rsid w:val="00D00A1B"/>
    <w:rsid w:val="00D01321"/>
    <w:rsid w:val="00D0138C"/>
    <w:rsid w:val="00D02302"/>
    <w:rsid w:val="00D02FC2"/>
    <w:rsid w:val="00D0344C"/>
    <w:rsid w:val="00D03AC6"/>
    <w:rsid w:val="00D03CEB"/>
    <w:rsid w:val="00D03D29"/>
    <w:rsid w:val="00D03E75"/>
    <w:rsid w:val="00D041B9"/>
    <w:rsid w:val="00D0463E"/>
    <w:rsid w:val="00D0511B"/>
    <w:rsid w:val="00D05D21"/>
    <w:rsid w:val="00D0609C"/>
    <w:rsid w:val="00D067C6"/>
    <w:rsid w:val="00D06A38"/>
    <w:rsid w:val="00D06B4A"/>
    <w:rsid w:val="00D103F1"/>
    <w:rsid w:val="00D12629"/>
    <w:rsid w:val="00D12833"/>
    <w:rsid w:val="00D12A3D"/>
    <w:rsid w:val="00D1390D"/>
    <w:rsid w:val="00D13A0B"/>
    <w:rsid w:val="00D1462E"/>
    <w:rsid w:val="00D15814"/>
    <w:rsid w:val="00D15AFF"/>
    <w:rsid w:val="00D16008"/>
    <w:rsid w:val="00D16D4D"/>
    <w:rsid w:val="00D17597"/>
    <w:rsid w:val="00D176F7"/>
    <w:rsid w:val="00D17908"/>
    <w:rsid w:val="00D20238"/>
    <w:rsid w:val="00D20D4F"/>
    <w:rsid w:val="00D21237"/>
    <w:rsid w:val="00D22593"/>
    <w:rsid w:val="00D225E1"/>
    <w:rsid w:val="00D22A60"/>
    <w:rsid w:val="00D24E50"/>
    <w:rsid w:val="00D25119"/>
    <w:rsid w:val="00D2653C"/>
    <w:rsid w:val="00D26FB4"/>
    <w:rsid w:val="00D2743A"/>
    <w:rsid w:val="00D277DA"/>
    <w:rsid w:val="00D279B7"/>
    <w:rsid w:val="00D279FA"/>
    <w:rsid w:val="00D30355"/>
    <w:rsid w:val="00D30E5D"/>
    <w:rsid w:val="00D319A9"/>
    <w:rsid w:val="00D31CDA"/>
    <w:rsid w:val="00D31E55"/>
    <w:rsid w:val="00D31FDE"/>
    <w:rsid w:val="00D32541"/>
    <w:rsid w:val="00D32984"/>
    <w:rsid w:val="00D32AD1"/>
    <w:rsid w:val="00D32CD6"/>
    <w:rsid w:val="00D331A1"/>
    <w:rsid w:val="00D35A98"/>
    <w:rsid w:val="00D360B0"/>
    <w:rsid w:val="00D3679E"/>
    <w:rsid w:val="00D37D65"/>
    <w:rsid w:val="00D405EE"/>
    <w:rsid w:val="00D40EF3"/>
    <w:rsid w:val="00D43B7E"/>
    <w:rsid w:val="00D43F93"/>
    <w:rsid w:val="00D44605"/>
    <w:rsid w:val="00D456BD"/>
    <w:rsid w:val="00D45974"/>
    <w:rsid w:val="00D46F54"/>
    <w:rsid w:val="00D47B7E"/>
    <w:rsid w:val="00D50B23"/>
    <w:rsid w:val="00D52E79"/>
    <w:rsid w:val="00D53AD4"/>
    <w:rsid w:val="00D53EFA"/>
    <w:rsid w:val="00D54138"/>
    <w:rsid w:val="00D55625"/>
    <w:rsid w:val="00D56EF5"/>
    <w:rsid w:val="00D57C97"/>
    <w:rsid w:val="00D57F8B"/>
    <w:rsid w:val="00D6146D"/>
    <w:rsid w:val="00D62819"/>
    <w:rsid w:val="00D62B9F"/>
    <w:rsid w:val="00D62FBA"/>
    <w:rsid w:val="00D63004"/>
    <w:rsid w:val="00D63524"/>
    <w:rsid w:val="00D64386"/>
    <w:rsid w:val="00D6456D"/>
    <w:rsid w:val="00D64F90"/>
    <w:rsid w:val="00D65503"/>
    <w:rsid w:val="00D65E2B"/>
    <w:rsid w:val="00D6649A"/>
    <w:rsid w:val="00D66D06"/>
    <w:rsid w:val="00D67699"/>
    <w:rsid w:val="00D67768"/>
    <w:rsid w:val="00D678BC"/>
    <w:rsid w:val="00D67A1B"/>
    <w:rsid w:val="00D70220"/>
    <w:rsid w:val="00D709AB"/>
    <w:rsid w:val="00D71819"/>
    <w:rsid w:val="00D72004"/>
    <w:rsid w:val="00D72227"/>
    <w:rsid w:val="00D7226E"/>
    <w:rsid w:val="00D7274B"/>
    <w:rsid w:val="00D72C3B"/>
    <w:rsid w:val="00D72D0A"/>
    <w:rsid w:val="00D73A06"/>
    <w:rsid w:val="00D73A94"/>
    <w:rsid w:val="00D73DEF"/>
    <w:rsid w:val="00D73EC8"/>
    <w:rsid w:val="00D74C60"/>
    <w:rsid w:val="00D74CA2"/>
    <w:rsid w:val="00D80EC4"/>
    <w:rsid w:val="00D82F1D"/>
    <w:rsid w:val="00D82FC8"/>
    <w:rsid w:val="00D83877"/>
    <w:rsid w:val="00D83C18"/>
    <w:rsid w:val="00D83D76"/>
    <w:rsid w:val="00D83D7E"/>
    <w:rsid w:val="00D8407C"/>
    <w:rsid w:val="00D845B5"/>
    <w:rsid w:val="00D85C8C"/>
    <w:rsid w:val="00D867CE"/>
    <w:rsid w:val="00D869A9"/>
    <w:rsid w:val="00D86A12"/>
    <w:rsid w:val="00D870BD"/>
    <w:rsid w:val="00D921E5"/>
    <w:rsid w:val="00D92ED6"/>
    <w:rsid w:val="00D93077"/>
    <w:rsid w:val="00D9350F"/>
    <w:rsid w:val="00D9354B"/>
    <w:rsid w:val="00D93833"/>
    <w:rsid w:val="00D939A1"/>
    <w:rsid w:val="00D95DCB"/>
    <w:rsid w:val="00D96057"/>
    <w:rsid w:val="00D979F0"/>
    <w:rsid w:val="00D97D0D"/>
    <w:rsid w:val="00DA0365"/>
    <w:rsid w:val="00DA1618"/>
    <w:rsid w:val="00DA1820"/>
    <w:rsid w:val="00DA1C6F"/>
    <w:rsid w:val="00DA2411"/>
    <w:rsid w:val="00DA241F"/>
    <w:rsid w:val="00DA3CCC"/>
    <w:rsid w:val="00DA4400"/>
    <w:rsid w:val="00DA55E8"/>
    <w:rsid w:val="00DA5CA0"/>
    <w:rsid w:val="00DA6CCE"/>
    <w:rsid w:val="00DA6D47"/>
    <w:rsid w:val="00DA7E41"/>
    <w:rsid w:val="00DB037E"/>
    <w:rsid w:val="00DB073C"/>
    <w:rsid w:val="00DB0E05"/>
    <w:rsid w:val="00DB0E72"/>
    <w:rsid w:val="00DB0FE8"/>
    <w:rsid w:val="00DB18CE"/>
    <w:rsid w:val="00DB21C0"/>
    <w:rsid w:val="00DB345D"/>
    <w:rsid w:val="00DB36A7"/>
    <w:rsid w:val="00DB435F"/>
    <w:rsid w:val="00DB5EBF"/>
    <w:rsid w:val="00DB6005"/>
    <w:rsid w:val="00DB7E45"/>
    <w:rsid w:val="00DB7FC0"/>
    <w:rsid w:val="00DC0F12"/>
    <w:rsid w:val="00DC0F63"/>
    <w:rsid w:val="00DC1F78"/>
    <w:rsid w:val="00DC256B"/>
    <w:rsid w:val="00DC2BC9"/>
    <w:rsid w:val="00DC30EF"/>
    <w:rsid w:val="00DC341D"/>
    <w:rsid w:val="00DC3936"/>
    <w:rsid w:val="00DC5121"/>
    <w:rsid w:val="00DC57AA"/>
    <w:rsid w:val="00DC6DC9"/>
    <w:rsid w:val="00DD08DA"/>
    <w:rsid w:val="00DD0EC8"/>
    <w:rsid w:val="00DD1744"/>
    <w:rsid w:val="00DD1758"/>
    <w:rsid w:val="00DD1AE7"/>
    <w:rsid w:val="00DD2641"/>
    <w:rsid w:val="00DD2D10"/>
    <w:rsid w:val="00DD3BF2"/>
    <w:rsid w:val="00DD49C6"/>
    <w:rsid w:val="00DD585B"/>
    <w:rsid w:val="00DD5E01"/>
    <w:rsid w:val="00DD666E"/>
    <w:rsid w:val="00DD76BB"/>
    <w:rsid w:val="00DE03F4"/>
    <w:rsid w:val="00DE1470"/>
    <w:rsid w:val="00DE1991"/>
    <w:rsid w:val="00DE2010"/>
    <w:rsid w:val="00DE24DB"/>
    <w:rsid w:val="00DE2F72"/>
    <w:rsid w:val="00DE31BB"/>
    <w:rsid w:val="00DE3F3E"/>
    <w:rsid w:val="00DE45FA"/>
    <w:rsid w:val="00DE48DA"/>
    <w:rsid w:val="00DE4951"/>
    <w:rsid w:val="00DE5076"/>
    <w:rsid w:val="00DE5F60"/>
    <w:rsid w:val="00DE726D"/>
    <w:rsid w:val="00DF0089"/>
    <w:rsid w:val="00DF0381"/>
    <w:rsid w:val="00DF06C8"/>
    <w:rsid w:val="00DF0BEF"/>
    <w:rsid w:val="00DF0F93"/>
    <w:rsid w:val="00DF122F"/>
    <w:rsid w:val="00DF13E3"/>
    <w:rsid w:val="00DF350C"/>
    <w:rsid w:val="00DF3A99"/>
    <w:rsid w:val="00DF43FF"/>
    <w:rsid w:val="00DF6823"/>
    <w:rsid w:val="00DF6E99"/>
    <w:rsid w:val="00DF730F"/>
    <w:rsid w:val="00DF74B4"/>
    <w:rsid w:val="00DF7D10"/>
    <w:rsid w:val="00E01119"/>
    <w:rsid w:val="00E013E5"/>
    <w:rsid w:val="00E014FC"/>
    <w:rsid w:val="00E03F2B"/>
    <w:rsid w:val="00E03F53"/>
    <w:rsid w:val="00E0499E"/>
    <w:rsid w:val="00E063AD"/>
    <w:rsid w:val="00E06CDC"/>
    <w:rsid w:val="00E07F9F"/>
    <w:rsid w:val="00E10C15"/>
    <w:rsid w:val="00E11A1E"/>
    <w:rsid w:val="00E11D2B"/>
    <w:rsid w:val="00E1239C"/>
    <w:rsid w:val="00E126DA"/>
    <w:rsid w:val="00E12C4D"/>
    <w:rsid w:val="00E13653"/>
    <w:rsid w:val="00E13ACD"/>
    <w:rsid w:val="00E14394"/>
    <w:rsid w:val="00E14B90"/>
    <w:rsid w:val="00E15008"/>
    <w:rsid w:val="00E15123"/>
    <w:rsid w:val="00E1555F"/>
    <w:rsid w:val="00E15B04"/>
    <w:rsid w:val="00E16B0C"/>
    <w:rsid w:val="00E17226"/>
    <w:rsid w:val="00E2077F"/>
    <w:rsid w:val="00E207ED"/>
    <w:rsid w:val="00E20A67"/>
    <w:rsid w:val="00E210FD"/>
    <w:rsid w:val="00E21689"/>
    <w:rsid w:val="00E21CDD"/>
    <w:rsid w:val="00E224DB"/>
    <w:rsid w:val="00E228C1"/>
    <w:rsid w:val="00E229BF"/>
    <w:rsid w:val="00E22E77"/>
    <w:rsid w:val="00E238CF"/>
    <w:rsid w:val="00E24AE4"/>
    <w:rsid w:val="00E2501D"/>
    <w:rsid w:val="00E250A5"/>
    <w:rsid w:val="00E252B1"/>
    <w:rsid w:val="00E2555F"/>
    <w:rsid w:val="00E25612"/>
    <w:rsid w:val="00E257EF"/>
    <w:rsid w:val="00E25F51"/>
    <w:rsid w:val="00E26A2A"/>
    <w:rsid w:val="00E27164"/>
    <w:rsid w:val="00E27289"/>
    <w:rsid w:val="00E27617"/>
    <w:rsid w:val="00E27BCB"/>
    <w:rsid w:val="00E315D2"/>
    <w:rsid w:val="00E31FA9"/>
    <w:rsid w:val="00E325CD"/>
    <w:rsid w:val="00E32A4F"/>
    <w:rsid w:val="00E32D16"/>
    <w:rsid w:val="00E32E79"/>
    <w:rsid w:val="00E33460"/>
    <w:rsid w:val="00E338EE"/>
    <w:rsid w:val="00E33D36"/>
    <w:rsid w:val="00E33EDD"/>
    <w:rsid w:val="00E34358"/>
    <w:rsid w:val="00E358F4"/>
    <w:rsid w:val="00E37A7A"/>
    <w:rsid w:val="00E37AEF"/>
    <w:rsid w:val="00E40686"/>
    <w:rsid w:val="00E40A56"/>
    <w:rsid w:val="00E40A66"/>
    <w:rsid w:val="00E41207"/>
    <w:rsid w:val="00E416D3"/>
    <w:rsid w:val="00E42E03"/>
    <w:rsid w:val="00E42EC0"/>
    <w:rsid w:val="00E4370E"/>
    <w:rsid w:val="00E43B83"/>
    <w:rsid w:val="00E43F2E"/>
    <w:rsid w:val="00E4462F"/>
    <w:rsid w:val="00E464C1"/>
    <w:rsid w:val="00E470FD"/>
    <w:rsid w:val="00E47730"/>
    <w:rsid w:val="00E479F7"/>
    <w:rsid w:val="00E47D7F"/>
    <w:rsid w:val="00E506E1"/>
    <w:rsid w:val="00E51684"/>
    <w:rsid w:val="00E518A1"/>
    <w:rsid w:val="00E5271B"/>
    <w:rsid w:val="00E52A53"/>
    <w:rsid w:val="00E536D6"/>
    <w:rsid w:val="00E54C9C"/>
    <w:rsid w:val="00E54E5C"/>
    <w:rsid w:val="00E555B5"/>
    <w:rsid w:val="00E557D2"/>
    <w:rsid w:val="00E55F05"/>
    <w:rsid w:val="00E55FC2"/>
    <w:rsid w:val="00E57A80"/>
    <w:rsid w:val="00E57C5B"/>
    <w:rsid w:val="00E57E0D"/>
    <w:rsid w:val="00E60B2B"/>
    <w:rsid w:val="00E62E75"/>
    <w:rsid w:val="00E6301E"/>
    <w:rsid w:val="00E64251"/>
    <w:rsid w:val="00E6462A"/>
    <w:rsid w:val="00E655AB"/>
    <w:rsid w:val="00E660D0"/>
    <w:rsid w:val="00E6630D"/>
    <w:rsid w:val="00E66628"/>
    <w:rsid w:val="00E672EF"/>
    <w:rsid w:val="00E67837"/>
    <w:rsid w:val="00E701B0"/>
    <w:rsid w:val="00E706CB"/>
    <w:rsid w:val="00E70FE2"/>
    <w:rsid w:val="00E717E1"/>
    <w:rsid w:val="00E7235F"/>
    <w:rsid w:val="00E73621"/>
    <w:rsid w:val="00E73F12"/>
    <w:rsid w:val="00E7422D"/>
    <w:rsid w:val="00E745A2"/>
    <w:rsid w:val="00E75518"/>
    <w:rsid w:val="00E757EB"/>
    <w:rsid w:val="00E75BA0"/>
    <w:rsid w:val="00E75FAB"/>
    <w:rsid w:val="00E76D48"/>
    <w:rsid w:val="00E8039A"/>
    <w:rsid w:val="00E80CC7"/>
    <w:rsid w:val="00E82D5F"/>
    <w:rsid w:val="00E82D87"/>
    <w:rsid w:val="00E830D9"/>
    <w:rsid w:val="00E83B17"/>
    <w:rsid w:val="00E83DFE"/>
    <w:rsid w:val="00E84817"/>
    <w:rsid w:val="00E84E52"/>
    <w:rsid w:val="00E85075"/>
    <w:rsid w:val="00E85E25"/>
    <w:rsid w:val="00E865DA"/>
    <w:rsid w:val="00E8708B"/>
    <w:rsid w:val="00E871CD"/>
    <w:rsid w:val="00E878B2"/>
    <w:rsid w:val="00E87B2D"/>
    <w:rsid w:val="00E87D6A"/>
    <w:rsid w:val="00E900E1"/>
    <w:rsid w:val="00E91A9B"/>
    <w:rsid w:val="00E9222D"/>
    <w:rsid w:val="00E94580"/>
    <w:rsid w:val="00E9503E"/>
    <w:rsid w:val="00E953D3"/>
    <w:rsid w:val="00E96837"/>
    <w:rsid w:val="00EA17B1"/>
    <w:rsid w:val="00EA1E73"/>
    <w:rsid w:val="00EA22E3"/>
    <w:rsid w:val="00EA2F9E"/>
    <w:rsid w:val="00EA3749"/>
    <w:rsid w:val="00EA4682"/>
    <w:rsid w:val="00EA4C1A"/>
    <w:rsid w:val="00EA5F08"/>
    <w:rsid w:val="00EA6C04"/>
    <w:rsid w:val="00EA72D4"/>
    <w:rsid w:val="00EA7E58"/>
    <w:rsid w:val="00EB0572"/>
    <w:rsid w:val="00EB1240"/>
    <w:rsid w:val="00EB1788"/>
    <w:rsid w:val="00EB1B16"/>
    <w:rsid w:val="00EB1BBE"/>
    <w:rsid w:val="00EB327A"/>
    <w:rsid w:val="00EB4250"/>
    <w:rsid w:val="00EB42A1"/>
    <w:rsid w:val="00EB4761"/>
    <w:rsid w:val="00EB52F1"/>
    <w:rsid w:val="00EB62DF"/>
    <w:rsid w:val="00EB6826"/>
    <w:rsid w:val="00EB6B68"/>
    <w:rsid w:val="00EB7115"/>
    <w:rsid w:val="00EC080F"/>
    <w:rsid w:val="00EC1A27"/>
    <w:rsid w:val="00EC1AF9"/>
    <w:rsid w:val="00EC1C15"/>
    <w:rsid w:val="00EC28BE"/>
    <w:rsid w:val="00EC3DDD"/>
    <w:rsid w:val="00EC409D"/>
    <w:rsid w:val="00EC50BA"/>
    <w:rsid w:val="00EC5D5C"/>
    <w:rsid w:val="00EC5DD1"/>
    <w:rsid w:val="00EC65D8"/>
    <w:rsid w:val="00EC668E"/>
    <w:rsid w:val="00EC6865"/>
    <w:rsid w:val="00EC7C52"/>
    <w:rsid w:val="00ED08CC"/>
    <w:rsid w:val="00ED12C2"/>
    <w:rsid w:val="00ED164E"/>
    <w:rsid w:val="00ED277D"/>
    <w:rsid w:val="00ED2927"/>
    <w:rsid w:val="00ED2B0A"/>
    <w:rsid w:val="00ED2DC7"/>
    <w:rsid w:val="00ED2E19"/>
    <w:rsid w:val="00ED2F4C"/>
    <w:rsid w:val="00ED4CC1"/>
    <w:rsid w:val="00ED6A2D"/>
    <w:rsid w:val="00ED752D"/>
    <w:rsid w:val="00EE0178"/>
    <w:rsid w:val="00EE0F42"/>
    <w:rsid w:val="00EE11D8"/>
    <w:rsid w:val="00EE169A"/>
    <w:rsid w:val="00EE1A65"/>
    <w:rsid w:val="00EE1D23"/>
    <w:rsid w:val="00EE38C8"/>
    <w:rsid w:val="00EE460D"/>
    <w:rsid w:val="00EE4855"/>
    <w:rsid w:val="00EE4CBA"/>
    <w:rsid w:val="00EE577E"/>
    <w:rsid w:val="00EE6393"/>
    <w:rsid w:val="00EE6955"/>
    <w:rsid w:val="00EE6DBE"/>
    <w:rsid w:val="00EE6EDA"/>
    <w:rsid w:val="00EE7B2C"/>
    <w:rsid w:val="00EE7C8B"/>
    <w:rsid w:val="00EE7DD1"/>
    <w:rsid w:val="00EF08D0"/>
    <w:rsid w:val="00EF110B"/>
    <w:rsid w:val="00EF1141"/>
    <w:rsid w:val="00EF12B6"/>
    <w:rsid w:val="00EF1310"/>
    <w:rsid w:val="00EF295D"/>
    <w:rsid w:val="00EF349B"/>
    <w:rsid w:val="00EF39C1"/>
    <w:rsid w:val="00EF416E"/>
    <w:rsid w:val="00EF432B"/>
    <w:rsid w:val="00EF5072"/>
    <w:rsid w:val="00EF59B1"/>
    <w:rsid w:val="00EF6ACF"/>
    <w:rsid w:val="00EF6B1F"/>
    <w:rsid w:val="00F01628"/>
    <w:rsid w:val="00F02932"/>
    <w:rsid w:val="00F03038"/>
    <w:rsid w:val="00F03BF2"/>
    <w:rsid w:val="00F040DD"/>
    <w:rsid w:val="00F04275"/>
    <w:rsid w:val="00F043CE"/>
    <w:rsid w:val="00F07CDB"/>
    <w:rsid w:val="00F07E6F"/>
    <w:rsid w:val="00F10CCD"/>
    <w:rsid w:val="00F11194"/>
    <w:rsid w:val="00F11359"/>
    <w:rsid w:val="00F1142D"/>
    <w:rsid w:val="00F11540"/>
    <w:rsid w:val="00F1267A"/>
    <w:rsid w:val="00F12F8C"/>
    <w:rsid w:val="00F13735"/>
    <w:rsid w:val="00F13A8E"/>
    <w:rsid w:val="00F1591B"/>
    <w:rsid w:val="00F1610A"/>
    <w:rsid w:val="00F175E2"/>
    <w:rsid w:val="00F17D20"/>
    <w:rsid w:val="00F17F30"/>
    <w:rsid w:val="00F201DF"/>
    <w:rsid w:val="00F20D33"/>
    <w:rsid w:val="00F217CF"/>
    <w:rsid w:val="00F226EF"/>
    <w:rsid w:val="00F252C3"/>
    <w:rsid w:val="00F2659E"/>
    <w:rsid w:val="00F26927"/>
    <w:rsid w:val="00F273EE"/>
    <w:rsid w:val="00F2744E"/>
    <w:rsid w:val="00F30978"/>
    <w:rsid w:val="00F311CD"/>
    <w:rsid w:val="00F3198B"/>
    <w:rsid w:val="00F347CA"/>
    <w:rsid w:val="00F34C67"/>
    <w:rsid w:val="00F35572"/>
    <w:rsid w:val="00F358B9"/>
    <w:rsid w:val="00F35BCB"/>
    <w:rsid w:val="00F35F99"/>
    <w:rsid w:val="00F4035B"/>
    <w:rsid w:val="00F403AC"/>
    <w:rsid w:val="00F40740"/>
    <w:rsid w:val="00F42593"/>
    <w:rsid w:val="00F42BC6"/>
    <w:rsid w:val="00F43F23"/>
    <w:rsid w:val="00F441DD"/>
    <w:rsid w:val="00F44638"/>
    <w:rsid w:val="00F452EB"/>
    <w:rsid w:val="00F45A43"/>
    <w:rsid w:val="00F46E41"/>
    <w:rsid w:val="00F47A9B"/>
    <w:rsid w:val="00F47C51"/>
    <w:rsid w:val="00F507C8"/>
    <w:rsid w:val="00F50DC1"/>
    <w:rsid w:val="00F517E4"/>
    <w:rsid w:val="00F51D74"/>
    <w:rsid w:val="00F55678"/>
    <w:rsid w:val="00F55DAE"/>
    <w:rsid w:val="00F566CE"/>
    <w:rsid w:val="00F57F71"/>
    <w:rsid w:val="00F60747"/>
    <w:rsid w:val="00F620CF"/>
    <w:rsid w:val="00F62BFF"/>
    <w:rsid w:val="00F636E1"/>
    <w:rsid w:val="00F63A87"/>
    <w:rsid w:val="00F63DAD"/>
    <w:rsid w:val="00F6469B"/>
    <w:rsid w:val="00F65237"/>
    <w:rsid w:val="00F656C3"/>
    <w:rsid w:val="00F659AD"/>
    <w:rsid w:val="00F65B85"/>
    <w:rsid w:val="00F662FD"/>
    <w:rsid w:val="00F6641A"/>
    <w:rsid w:val="00F66652"/>
    <w:rsid w:val="00F66A38"/>
    <w:rsid w:val="00F675AB"/>
    <w:rsid w:val="00F70FE8"/>
    <w:rsid w:val="00F7124F"/>
    <w:rsid w:val="00F71F8B"/>
    <w:rsid w:val="00F73DC6"/>
    <w:rsid w:val="00F74920"/>
    <w:rsid w:val="00F7667A"/>
    <w:rsid w:val="00F8052E"/>
    <w:rsid w:val="00F82E38"/>
    <w:rsid w:val="00F83DA8"/>
    <w:rsid w:val="00F85FEF"/>
    <w:rsid w:val="00F879BB"/>
    <w:rsid w:val="00F87FF6"/>
    <w:rsid w:val="00F90B68"/>
    <w:rsid w:val="00F910B4"/>
    <w:rsid w:val="00F91717"/>
    <w:rsid w:val="00F9213D"/>
    <w:rsid w:val="00F92D05"/>
    <w:rsid w:val="00F9308E"/>
    <w:rsid w:val="00F951BC"/>
    <w:rsid w:val="00F953DB"/>
    <w:rsid w:val="00F962D3"/>
    <w:rsid w:val="00F9632B"/>
    <w:rsid w:val="00F96CE5"/>
    <w:rsid w:val="00F97315"/>
    <w:rsid w:val="00F97508"/>
    <w:rsid w:val="00FA0953"/>
    <w:rsid w:val="00FA0F96"/>
    <w:rsid w:val="00FA1751"/>
    <w:rsid w:val="00FA2230"/>
    <w:rsid w:val="00FA282F"/>
    <w:rsid w:val="00FA3553"/>
    <w:rsid w:val="00FA3BD1"/>
    <w:rsid w:val="00FA55FA"/>
    <w:rsid w:val="00FA69C2"/>
    <w:rsid w:val="00FA6B2B"/>
    <w:rsid w:val="00FA6CB6"/>
    <w:rsid w:val="00FA7210"/>
    <w:rsid w:val="00FA7FB3"/>
    <w:rsid w:val="00FB0A3F"/>
    <w:rsid w:val="00FB162B"/>
    <w:rsid w:val="00FB2603"/>
    <w:rsid w:val="00FB376F"/>
    <w:rsid w:val="00FB37E8"/>
    <w:rsid w:val="00FB44A9"/>
    <w:rsid w:val="00FB485C"/>
    <w:rsid w:val="00FB5419"/>
    <w:rsid w:val="00FB5C37"/>
    <w:rsid w:val="00FB63A9"/>
    <w:rsid w:val="00FB6713"/>
    <w:rsid w:val="00FB678A"/>
    <w:rsid w:val="00FC08BE"/>
    <w:rsid w:val="00FC1365"/>
    <w:rsid w:val="00FC1D9F"/>
    <w:rsid w:val="00FC30F4"/>
    <w:rsid w:val="00FC340C"/>
    <w:rsid w:val="00FC3789"/>
    <w:rsid w:val="00FC3DAE"/>
    <w:rsid w:val="00FC4EE8"/>
    <w:rsid w:val="00FC5791"/>
    <w:rsid w:val="00FC5A36"/>
    <w:rsid w:val="00FC74E4"/>
    <w:rsid w:val="00FC7755"/>
    <w:rsid w:val="00FD0B2F"/>
    <w:rsid w:val="00FD19DF"/>
    <w:rsid w:val="00FD1A05"/>
    <w:rsid w:val="00FD1ED2"/>
    <w:rsid w:val="00FD2947"/>
    <w:rsid w:val="00FD35DF"/>
    <w:rsid w:val="00FD42E4"/>
    <w:rsid w:val="00FD5AAC"/>
    <w:rsid w:val="00FD6BB7"/>
    <w:rsid w:val="00FD6E6C"/>
    <w:rsid w:val="00FD749D"/>
    <w:rsid w:val="00FD7606"/>
    <w:rsid w:val="00FE0DAF"/>
    <w:rsid w:val="00FE216E"/>
    <w:rsid w:val="00FE3416"/>
    <w:rsid w:val="00FE3473"/>
    <w:rsid w:val="00FE3966"/>
    <w:rsid w:val="00FE3FEC"/>
    <w:rsid w:val="00FE4F2F"/>
    <w:rsid w:val="00FE4F6B"/>
    <w:rsid w:val="00FE55BF"/>
    <w:rsid w:val="00FE55FD"/>
    <w:rsid w:val="00FE57E5"/>
    <w:rsid w:val="00FE6514"/>
    <w:rsid w:val="00FE720C"/>
    <w:rsid w:val="00FE7AD4"/>
    <w:rsid w:val="00FF076A"/>
    <w:rsid w:val="00FF17FD"/>
    <w:rsid w:val="00FF1A5B"/>
    <w:rsid w:val="00FF2346"/>
    <w:rsid w:val="00FF2644"/>
    <w:rsid w:val="00FF271C"/>
    <w:rsid w:val="00FF4446"/>
    <w:rsid w:val="00FF4987"/>
    <w:rsid w:val="00FF5841"/>
    <w:rsid w:val="00FF5BA3"/>
    <w:rsid w:val="00FF5E0A"/>
    <w:rsid w:val="00FF5E94"/>
    <w:rsid w:val="00FF71AB"/>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3A6FC"/>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FB"/>
    <w:rPr>
      <w:lang w:val="en-CA"/>
    </w:rPr>
  </w:style>
  <w:style w:type="paragraph" w:styleId="Heading1">
    <w:name w:val="heading 1"/>
    <w:basedOn w:val="Normal"/>
    <w:next w:val="Normal"/>
    <w:link w:val="Heading1Char"/>
    <w:uiPriority w:val="9"/>
    <w:qFormat/>
    <w:rsid w:val="00863476"/>
    <w:pPr>
      <w:keepNext/>
      <w:keepLines/>
      <w:spacing w:before="480" w:after="360" w:line="240" w:lineRule="auto"/>
      <w:outlineLvl w:val="0"/>
    </w:pPr>
    <w:rPr>
      <w:rFonts w:ascii="Arial" w:eastAsiaTheme="majorEastAsia" w:hAnsi="Arial" w:cstheme="majorBidi"/>
      <w:b/>
      <w:bCs/>
      <w:sz w:val="26"/>
      <w:szCs w:val="28"/>
      <w:lang w:val="en-US"/>
    </w:rPr>
  </w:style>
  <w:style w:type="paragraph" w:styleId="Heading2">
    <w:name w:val="heading 2"/>
    <w:basedOn w:val="Normal"/>
    <w:next w:val="Normal"/>
    <w:link w:val="Heading2Char"/>
    <w:uiPriority w:val="9"/>
    <w:unhideWhenUsed/>
    <w:qFormat/>
    <w:rsid w:val="00863476"/>
    <w:pPr>
      <w:keepNext/>
      <w:keepLines/>
      <w:spacing w:before="200" w:after="0"/>
      <w:outlineLvl w:val="1"/>
    </w:pPr>
    <w:rPr>
      <w:rFonts w:ascii="Arial" w:eastAsiaTheme="majorEastAsia" w:hAnsi="Arial" w:cstheme="majorBidi"/>
      <w:b/>
      <w:bCs/>
      <w:sz w:val="24"/>
      <w:szCs w:val="26"/>
      <w:u w:val="single"/>
    </w:rPr>
  </w:style>
  <w:style w:type="paragraph" w:styleId="Heading3">
    <w:name w:val="heading 3"/>
    <w:basedOn w:val="Normal"/>
    <w:next w:val="Normal"/>
    <w:link w:val="Heading3Char"/>
    <w:uiPriority w:val="9"/>
    <w:unhideWhenUsed/>
    <w:qFormat/>
    <w:rsid w:val="00F62BFF"/>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476"/>
    <w:rPr>
      <w:rFonts w:ascii="Arial" w:eastAsiaTheme="majorEastAsia" w:hAnsi="Arial" w:cstheme="majorBidi"/>
      <w:b/>
      <w:bCs/>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863476"/>
    <w:rPr>
      <w:rFonts w:ascii="Arial" w:eastAsiaTheme="majorEastAsia" w:hAnsi="Arial" w:cstheme="majorBidi"/>
      <w:b/>
      <w:bCs/>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F62BFF"/>
    <w:rPr>
      <w:rFonts w:asciiTheme="majorHAnsi" w:eastAsiaTheme="majorEastAsia" w:hAnsiTheme="majorHAnsi" w:cstheme="majorBidi"/>
      <w:color w:val="073662" w:themeColor="accent1" w:themeShade="7F"/>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DC30EF"/>
    <w:pPr>
      <w:numPr>
        <w:numId w:val="1"/>
      </w:numPr>
      <w:autoSpaceDE w:val="0"/>
      <w:autoSpaceDN w:val="0"/>
      <w:adjustRightInd w:val="0"/>
      <w:spacing w:before="100" w:beforeAutospacing="1" w:after="100" w:afterAutospacing="1" w:line="240" w:lineRule="auto"/>
    </w:pPr>
    <w:rPr>
      <w:rFonts w:ascii="Arial" w:hAnsi="Arial" w:cs="Arial"/>
    </w:rPr>
  </w:style>
  <w:style w:type="character" w:customStyle="1" w:styleId="ReccomendationsChar">
    <w:name w:val="Reccomendations Char"/>
    <w:basedOn w:val="DefaultParagraphFont"/>
    <w:link w:val="Reccomendations"/>
    <w:rsid w:val="00DC30EF"/>
    <w:rPr>
      <w:rFonts w:ascii="Arial" w:hAnsi="Arial" w:cs="Arial"/>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character" w:customStyle="1" w:styleId="UnresolvedMention11">
    <w:name w:val="Unresolved Mention11"/>
    <w:basedOn w:val="DefaultParagraphFont"/>
    <w:uiPriority w:val="99"/>
    <w:semiHidden/>
    <w:unhideWhenUsed/>
    <w:rsid w:val="000B2D05"/>
    <w:rPr>
      <w:color w:val="605E5C"/>
      <w:shd w:val="clear" w:color="auto" w:fill="E1DFDD"/>
    </w:rPr>
  </w:style>
  <w:style w:type="character" w:styleId="Strong">
    <w:name w:val="Strong"/>
    <w:basedOn w:val="DefaultParagraphFont"/>
    <w:uiPriority w:val="22"/>
    <w:qFormat/>
    <w:rsid w:val="000F6403"/>
    <w:rPr>
      <w:b/>
      <w:bCs/>
    </w:rPr>
  </w:style>
  <w:style w:type="character" w:customStyle="1" w:styleId="UnresolvedMention12">
    <w:name w:val="Unresolved Mention12"/>
    <w:basedOn w:val="DefaultParagraphFont"/>
    <w:uiPriority w:val="99"/>
    <w:semiHidden/>
    <w:unhideWhenUsed/>
    <w:rsid w:val="00F879BB"/>
    <w:rPr>
      <w:color w:val="605E5C"/>
      <w:shd w:val="clear" w:color="auto" w:fill="E1DFDD"/>
    </w:rPr>
  </w:style>
  <w:style w:type="table" w:styleId="GridTable1Light-Accent4">
    <w:name w:val="Grid Table 1 Light Accent 4"/>
    <w:basedOn w:val="TableNormal"/>
    <w:uiPriority w:val="46"/>
    <w:rsid w:val="00863476"/>
    <w:pPr>
      <w:spacing w:after="0"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15390190">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2885">
      <w:bodyDiv w:val="1"/>
      <w:marLeft w:val="0"/>
      <w:marRight w:val="0"/>
      <w:marTop w:val="0"/>
      <w:marBottom w:val="0"/>
      <w:divBdr>
        <w:top w:val="none" w:sz="0" w:space="0" w:color="auto"/>
        <w:left w:val="none" w:sz="0" w:space="0" w:color="auto"/>
        <w:bottom w:val="none" w:sz="0" w:space="0" w:color="auto"/>
        <w:right w:val="none" w:sz="0" w:space="0" w:color="auto"/>
      </w:divBdr>
    </w:div>
    <w:div w:id="1518957379">
      <w:bodyDiv w:val="1"/>
      <w:marLeft w:val="0"/>
      <w:marRight w:val="0"/>
      <w:marTop w:val="0"/>
      <w:marBottom w:val="0"/>
      <w:divBdr>
        <w:top w:val="none" w:sz="0" w:space="0" w:color="auto"/>
        <w:left w:val="none" w:sz="0" w:space="0" w:color="auto"/>
        <w:bottom w:val="none" w:sz="0" w:space="0" w:color="auto"/>
        <w:right w:val="none" w:sz="0" w:space="0" w:color="auto"/>
      </w:divBdr>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00573694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C9695-1861-4F58-A3EE-4FDF7067FAB3}">
  <ds:schemaRefs>
    <ds:schemaRef ds:uri="http://schemas.openxmlformats.org/officeDocument/2006/bibliography"/>
  </ds:schemaRefs>
</ds:datastoreItem>
</file>

<file path=customXml/itemProps4.xml><?xml version="1.0" encoding="utf-8"?>
<ds:datastoreItem xmlns:ds="http://schemas.openxmlformats.org/officeDocument/2006/customXml" ds:itemID="{10F23B5B-4F3B-407C-8905-3838D00A5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4901</Words>
  <Characters>27937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ETFO Submission  - Bill 229</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Bill 229</dc:title>
  <dc:subject>ETFO Submission  - Education Consultations 2018</dc:subject>
  <dc:creator>Mandy Wojcik</dc:creator>
  <cp:lastModifiedBy>Cynthia Chorzepa</cp:lastModifiedBy>
  <cp:revision>10</cp:revision>
  <cp:lastPrinted>2021-03-29T15:25:00Z</cp:lastPrinted>
  <dcterms:created xsi:type="dcterms:W3CDTF">2022-05-11T12:26:00Z</dcterms:created>
  <dcterms:modified xsi:type="dcterms:W3CDTF">2022-05-11T12:35:00Z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