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4E05" w14:textId="25353DB3" w:rsidR="0048539D" w:rsidRPr="007E596A" w:rsidRDefault="00B27594" w:rsidP="007E596A">
      <w:pPr>
        <w:pStyle w:val="Title"/>
      </w:pPr>
      <w:r w:rsidRPr="007E596A">
        <w:t>Promises Unfulfilled: Addressing the Special Education Crisis in Ontario</w:t>
      </w:r>
    </w:p>
    <w:p w14:paraId="068CC0D1" w14:textId="5A174112" w:rsidR="00A726FD" w:rsidRPr="007E596A" w:rsidRDefault="00422112" w:rsidP="007E596A">
      <w:pPr>
        <w:pStyle w:val="Subtitle"/>
      </w:pPr>
      <w:r w:rsidRPr="007E596A">
        <w:t xml:space="preserve">Chapter </w:t>
      </w:r>
      <w:r w:rsidR="005D43F9" w:rsidRPr="007E596A">
        <w:t>3</w:t>
      </w:r>
      <w:r w:rsidR="00AC110E">
        <w:t xml:space="preserve"> Summary</w:t>
      </w:r>
    </w:p>
    <w:p w14:paraId="08EEF62C" w14:textId="7AD935D1" w:rsidR="00264A29" w:rsidRPr="007E596A" w:rsidRDefault="003B0F47" w:rsidP="00A02503">
      <w:pPr>
        <w:rPr>
          <w:rFonts w:ascii="Arial" w:hAnsi="Arial" w:cs="Arial"/>
          <w:sz w:val="24"/>
          <w:szCs w:val="24"/>
        </w:rPr>
      </w:pPr>
      <w:r w:rsidRPr="007E596A">
        <w:rPr>
          <w:rFonts w:ascii="Arial" w:hAnsi="Arial" w:cs="Arial"/>
          <w:sz w:val="24"/>
          <w:szCs w:val="24"/>
        </w:rPr>
        <w:t xml:space="preserve">All children deserve a high-quality education that recognizes their diverse needs and abilities. For decades, ETFO has advocated for </w:t>
      </w:r>
      <w:r w:rsidR="001C7C34" w:rsidRPr="007E596A">
        <w:rPr>
          <w:rFonts w:ascii="Arial" w:hAnsi="Arial" w:cs="Arial"/>
          <w:sz w:val="24"/>
          <w:szCs w:val="24"/>
        </w:rPr>
        <w:t xml:space="preserve">Ontario’s education system </w:t>
      </w:r>
      <w:r w:rsidRPr="007E596A">
        <w:rPr>
          <w:rFonts w:ascii="Arial" w:hAnsi="Arial" w:cs="Arial"/>
          <w:sz w:val="24"/>
          <w:szCs w:val="24"/>
        </w:rPr>
        <w:t xml:space="preserve">to mandate and fully fund the supports and programs necessary to make this goal a reality for children with disabilities. </w:t>
      </w:r>
    </w:p>
    <w:p w14:paraId="44C3584A" w14:textId="77777777" w:rsidR="00FA383B" w:rsidRPr="007E596A" w:rsidRDefault="008E4364" w:rsidP="00A02503">
      <w:pPr>
        <w:rPr>
          <w:rFonts w:ascii="Arial" w:hAnsi="Arial" w:cs="Arial"/>
          <w:sz w:val="24"/>
          <w:szCs w:val="24"/>
        </w:rPr>
      </w:pPr>
      <w:r w:rsidRPr="007E596A">
        <w:rPr>
          <w:rFonts w:ascii="Arial" w:hAnsi="Arial" w:cs="Arial"/>
          <w:sz w:val="24"/>
          <w:szCs w:val="24"/>
        </w:rPr>
        <w:t xml:space="preserve">Ensuring all Ontarians thrive is essential for the economic and social health of the province. That support begins in elementary school. </w:t>
      </w:r>
      <w:r w:rsidR="00EF75C0" w:rsidRPr="007E596A">
        <w:rPr>
          <w:rFonts w:ascii="Arial" w:hAnsi="Arial" w:cs="Arial"/>
          <w:sz w:val="24"/>
          <w:szCs w:val="24"/>
        </w:rPr>
        <w:t xml:space="preserve">The unfortunate reality is that </w:t>
      </w:r>
      <w:r w:rsidR="00DF69E1" w:rsidRPr="007E596A">
        <w:rPr>
          <w:rFonts w:ascii="Arial" w:hAnsi="Arial" w:cs="Arial"/>
          <w:sz w:val="24"/>
          <w:szCs w:val="24"/>
        </w:rPr>
        <w:t>educators</w:t>
      </w:r>
      <w:r w:rsidR="00C116FF" w:rsidRPr="007E596A">
        <w:rPr>
          <w:rFonts w:ascii="Arial" w:hAnsi="Arial" w:cs="Arial"/>
          <w:sz w:val="24"/>
          <w:szCs w:val="24"/>
        </w:rPr>
        <w:t xml:space="preserve"> </w:t>
      </w:r>
      <w:r w:rsidR="00EF75C0" w:rsidRPr="007E596A">
        <w:rPr>
          <w:rFonts w:ascii="Arial" w:hAnsi="Arial" w:cs="Arial"/>
          <w:sz w:val="24"/>
          <w:szCs w:val="24"/>
        </w:rPr>
        <w:t xml:space="preserve">and families are faced with a </w:t>
      </w:r>
      <w:r w:rsidR="00C116FF" w:rsidRPr="007E596A">
        <w:rPr>
          <w:rFonts w:ascii="Arial" w:hAnsi="Arial" w:cs="Arial"/>
          <w:sz w:val="24"/>
          <w:szCs w:val="24"/>
        </w:rPr>
        <w:t xml:space="preserve">broken </w:t>
      </w:r>
      <w:r w:rsidR="009F2964" w:rsidRPr="007E596A">
        <w:rPr>
          <w:rFonts w:ascii="Arial" w:hAnsi="Arial" w:cs="Arial"/>
          <w:sz w:val="24"/>
          <w:szCs w:val="24"/>
        </w:rPr>
        <w:t xml:space="preserve">system </w:t>
      </w:r>
      <w:r w:rsidR="00EF75C0" w:rsidRPr="007E596A">
        <w:rPr>
          <w:rFonts w:ascii="Arial" w:hAnsi="Arial" w:cs="Arial"/>
          <w:sz w:val="24"/>
          <w:szCs w:val="24"/>
        </w:rPr>
        <w:t>that is failing our children</w:t>
      </w:r>
      <w:r w:rsidR="00C116FF" w:rsidRPr="007E596A">
        <w:rPr>
          <w:rFonts w:ascii="Arial" w:hAnsi="Arial" w:cs="Arial"/>
          <w:sz w:val="24"/>
          <w:szCs w:val="24"/>
        </w:rPr>
        <w:t xml:space="preserve"> on a daily basis</w:t>
      </w:r>
      <w:r w:rsidR="00EF75C0" w:rsidRPr="007E596A">
        <w:rPr>
          <w:rFonts w:ascii="Arial" w:hAnsi="Arial" w:cs="Arial"/>
          <w:sz w:val="24"/>
          <w:szCs w:val="24"/>
        </w:rPr>
        <w:t>.</w:t>
      </w:r>
    </w:p>
    <w:p w14:paraId="728EE958" w14:textId="7EE493F3" w:rsidR="0079787E" w:rsidRPr="007E596A" w:rsidRDefault="00B32A7F" w:rsidP="00FD2D79">
      <w:pPr>
        <w:rPr>
          <w:rFonts w:ascii="Arial" w:hAnsi="Arial" w:cs="Arial"/>
          <w:sz w:val="24"/>
          <w:szCs w:val="24"/>
        </w:rPr>
      </w:pPr>
      <w:r w:rsidRPr="007E596A">
        <w:rPr>
          <w:rFonts w:ascii="Arial" w:hAnsi="Arial" w:cs="Arial"/>
          <w:sz w:val="24"/>
          <w:szCs w:val="24"/>
        </w:rPr>
        <w:t xml:space="preserve">Promises Unfulfilled </w:t>
      </w:r>
      <w:r w:rsidR="00A77773" w:rsidRPr="007E596A">
        <w:rPr>
          <w:rFonts w:ascii="Arial" w:hAnsi="Arial" w:cs="Arial"/>
          <w:sz w:val="24"/>
          <w:szCs w:val="24"/>
        </w:rPr>
        <w:t xml:space="preserve">explores </w:t>
      </w:r>
      <w:r w:rsidR="00054616" w:rsidRPr="007E596A">
        <w:rPr>
          <w:rFonts w:ascii="Arial" w:hAnsi="Arial" w:cs="Arial"/>
          <w:sz w:val="24"/>
          <w:szCs w:val="24"/>
        </w:rPr>
        <w:t>the ongoing history, broken policy, and chronic underfunding that have led to today’s classroom challenges</w:t>
      </w:r>
      <w:r w:rsidR="00422112" w:rsidRPr="007E596A">
        <w:rPr>
          <w:rFonts w:ascii="Arial" w:hAnsi="Arial" w:cs="Arial"/>
          <w:sz w:val="24"/>
          <w:szCs w:val="24"/>
        </w:rPr>
        <w:t>. The</w:t>
      </w:r>
      <w:r w:rsidR="00054616" w:rsidRPr="007E596A">
        <w:rPr>
          <w:rFonts w:ascii="Arial" w:hAnsi="Arial" w:cs="Arial"/>
          <w:sz w:val="24"/>
          <w:szCs w:val="24"/>
        </w:rPr>
        <w:t xml:space="preserve"> </w:t>
      </w:r>
      <w:r w:rsidR="00DB7277" w:rsidRPr="007E596A">
        <w:rPr>
          <w:rFonts w:ascii="Arial" w:hAnsi="Arial" w:cs="Arial"/>
          <w:sz w:val="24"/>
          <w:szCs w:val="24"/>
        </w:rPr>
        <w:t>2</w:t>
      </w:r>
      <w:r w:rsidR="00EF6B06" w:rsidRPr="007E596A">
        <w:rPr>
          <w:rFonts w:ascii="Arial" w:hAnsi="Arial" w:cs="Arial"/>
          <w:sz w:val="24"/>
          <w:szCs w:val="24"/>
        </w:rPr>
        <w:t>7</w:t>
      </w:r>
      <w:r w:rsidR="00DB7277" w:rsidRPr="007E596A">
        <w:rPr>
          <w:rFonts w:ascii="Arial" w:hAnsi="Arial" w:cs="Arial"/>
          <w:sz w:val="24"/>
          <w:szCs w:val="24"/>
        </w:rPr>
        <w:t xml:space="preserve"> recommendations </w:t>
      </w:r>
      <w:r w:rsidR="003113EC" w:rsidRPr="007E596A">
        <w:rPr>
          <w:rFonts w:ascii="Arial" w:hAnsi="Arial" w:cs="Arial"/>
          <w:sz w:val="24"/>
          <w:szCs w:val="24"/>
        </w:rPr>
        <w:t>included in this report</w:t>
      </w:r>
      <w:r w:rsidR="00DB7277" w:rsidRPr="007E596A">
        <w:rPr>
          <w:rFonts w:ascii="Arial" w:hAnsi="Arial" w:cs="Arial"/>
          <w:sz w:val="24"/>
          <w:szCs w:val="24"/>
        </w:rPr>
        <w:t xml:space="preserve"> </w:t>
      </w:r>
      <w:r w:rsidRPr="007E596A">
        <w:rPr>
          <w:rFonts w:ascii="Arial" w:hAnsi="Arial" w:cs="Arial"/>
          <w:sz w:val="24"/>
          <w:szCs w:val="24"/>
        </w:rPr>
        <w:t xml:space="preserve">are based on research, statistics, expert analysis, and input from educators directly impacted by the current reality and complexities in our schools. </w:t>
      </w:r>
    </w:p>
    <w:p w14:paraId="020FB142" w14:textId="32A59727" w:rsidR="00863BA0" w:rsidRPr="007E596A" w:rsidRDefault="00EB3CD2" w:rsidP="007E596A">
      <w:pPr>
        <w:pStyle w:val="Heading1"/>
      </w:pPr>
      <w:r w:rsidRPr="007E596A">
        <w:t xml:space="preserve">Special Education </w:t>
      </w:r>
      <w:r w:rsidR="00216E04" w:rsidRPr="007E596A">
        <w:t xml:space="preserve">Funding </w:t>
      </w:r>
      <w:r w:rsidR="00CE765F" w:rsidRPr="007E596A">
        <w:t>in Ontario</w:t>
      </w:r>
    </w:p>
    <w:p w14:paraId="252F3B41" w14:textId="0D72573E" w:rsidR="00EB3CD2" w:rsidRPr="007E596A" w:rsidRDefault="009F45E8">
      <w:pPr>
        <w:rPr>
          <w:rFonts w:ascii="Arial" w:hAnsi="Arial" w:cs="Arial"/>
          <w:sz w:val="24"/>
          <w:szCs w:val="24"/>
        </w:rPr>
      </w:pPr>
      <w:r>
        <w:rPr>
          <w:rFonts w:ascii="Arial" w:hAnsi="Arial" w:cs="Arial"/>
          <w:sz w:val="24"/>
          <w:szCs w:val="24"/>
        </w:rPr>
        <w:t xml:space="preserve">This chapter is written by </w:t>
      </w:r>
      <w:r w:rsidR="00C5679A" w:rsidRPr="007E596A">
        <w:rPr>
          <w:rFonts w:ascii="Arial" w:hAnsi="Arial" w:cs="Arial"/>
          <w:sz w:val="24"/>
          <w:szCs w:val="24"/>
        </w:rPr>
        <w:t>Ricardo Tranjan</w:t>
      </w:r>
      <w:r w:rsidR="00815E18" w:rsidRPr="007E596A">
        <w:rPr>
          <w:rFonts w:ascii="Arial" w:hAnsi="Arial" w:cs="Arial"/>
          <w:sz w:val="24"/>
          <w:szCs w:val="24"/>
        </w:rPr>
        <w:t xml:space="preserve">, senior researcher, </w:t>
      </w:r>
      <w:r w:rsidR="003F21C0" w:rsidRPr="007E596A">
        <w:rPr>
          <w:rFonts w:ascii="Arial" w:hAnsi="Arial" w:cs="Arial"/>
          <w:sz w:val="24"/>
          <w:szCs w:val="24"/>
        </w:rPr>
        <w:t>and</w:t>
      </w:r>
      <w:r w:rsidR="007E5417" w:rsidRPr="007E596A">
        <w:rPr>
          <w:rFonts w:ascii="Arial" w:hAnsi="Arial" w:cs="Arial"/>
          <w:sz w:val="24"/>
          <w:szCs w:val="24"/>
        </w:rPr>
        <w:t xml:space="preserve"> </w:t>
      </w:r>
      <w:r w:rsidR="00DA11C5" w:rsidRPr="007E596A">
        <w:rPr>
          <w:rFonts w:ascii="Arial" w:hAnsi="Arial" w:cs="Arial"/>
          <w:sz w:val="24"/>
          <w:szCs w:val="24"/>
        </w:rPr>
        <w:t>Caroline Aragão</w:t>
      </w:r>
      <w:r w:rsidR="00815E18" w:rsidRPr="007E596A">
        <w:rPr>
          <w:rFonts w:ascii="Arial" w:hAnsi="Arial" w:cs="Arial"/>
          <w:sz w:val="24"/>
          <w:szCs w:val="24"/>
        </w:rPr>
        <w:t xml:space="preserve">, researcher, </w:t>
      </w:r>
      <w:r w:rsidR="002F28AC" w:rsidRPr="007E596A">
        <w:rPr>
          <w:rFonts w:ascii="Arial" w:hAnsi="Arial" w:cs="Arial"/>
          <w:sz w:val="24"/>
          <w:szCs w:val="24"/>
        </w:rPr>
        <w:t>f</w:t>
      </w:r>
      <w:r w:rsidR="00815E18" w:rsidRPr="007E596A">
        <w:rPr>
          <w:rFonts w:ascii="Arial" w:hAnsi="Arial" w:cs="Arial"/>
          <w:sz w:val="24"/>
          <w:szCs w:val="24"/>
        </w:rPr>
        <w:t>rom</w:t>
      </w:r>
      <w:r w:rsidR="002F28AC" w:rsidRPr="007E596A">
        <w:rPr>
          <w:rFonts w:ascii="Arial" w:hAnsi="Arial" w:cs="Arial"/>
          <w:sz w:val="24"/>
          <w:szCs w:val="24"/>
        </w:rPr>
        <w:t xml:space="preserve"> the Canadian Centre for Policy Alternatives</w:t>
      </w:r>
      <w:r w:rsidR="00DB0AEE" w:rsidRPr="007E596A">
        <w:rPr>
          <w:rFonts w:ascii="Arial" w:hAnsi="Arial" w:cs="Arial"/>
          <w:sz w:val="24"/>
          <w:szCs w:val="24"/>
        </w:rPr>
        <w:t xml:space="preserve">. </w:t>
      </w:r>
    </w:p>
    <w:p w14:paraId="354F3445" w14:textId="4E2B3149" w:rsidR="00625CDC" w:rsidRPr="007E596A" w:rsidRDefault="00625CDC" w:rsidP="006F2105">
      <w:pPr>
        <w:widowControl w:val="0"/>
        <w:spacing w:after="0" w:line="240" w:lineRule="auto"/>
        <w:rPr>
          <w:rFonts w:ascii="Arial" w:hAnsi="Arial" w:cs="Arial"/>
          <w:sz w:val="24"/>
          <w:szCs w:val="24"/>
        </w:rPr>
      </w:pPr>
      <w:r w:rsidRPr="007E596A">
        <w:rPr>
          <w:rFonts w:ascii="Arial" w:hAnsi="Arial" w:cs="Arial"/>
          <w:sz w:val="24"/>
          <w:szCs w:val="24"/>
        </w:rPr>
        <w:t xml:space="preserve">Since the Doug Ford Conservative government came to power in 2018, funding for school boards has dropped a stunning </w:t>
      </w:r>
      <w:hyperlink r:id="rId9" w:history="1">
        <w:r w:rsidRPr="007E596A">
          <w:rPr>
            <w:rStyle w:val="Hyperlink"/>
            <w:rFonts w:ascii="Arial" w:hAnsi="Arial" w:cs="Arial"/>
            <w:sz w:val="24"/>
            <w:szCs w:val="24"/>
          </w:rPr>
          <w:t>$1,500 per student</w:t>
        </w:r>
      </w:hyperlink>
      <w:r w:rsidRPr="007E596A">
        <w:rPr>
          <w:rFonts w:ascii="Arial" w:hAnsi="Arial" w:cs="Arial"/>
          <w:sz w:val="24"/>
          <w:szCs w:val="24"/>
        </w:rPr>
        <w:t xml:space="preserve">, on average, when adjusted for inflation. </w:t>
      </w:r>
      <w:r w:rsidR="00E83353" w:rsidRPr="007E596A">
        <w:rPr>
          <w:rFonts w:ascii="Arial" w:hAnsi="Arial" w:cs="Arial"/>
          <w:sz w:val="24"/>
          <w:szCs w:val="24"/>
        </w:rPr>
        <w:t>Currently, only 13 per cent of special education funding is based on assessed student needs; the remainder is based on general enrolment and a statistical model that tries to predict the likelihood of children requiring special education support.</w:t>
      </w:r>
    </w:p>
    <w:p w14:paraId="593133F7" w14:textId="77777777" w:rsidR="00E83353" w:rsidRPr="007E596A" w:rsidRDefault="00E83353" w:rsidP="006F2105">
      <w:pPr>
        <w:widowControl w:val="0"/>
        <w:spacing w:after="0" w:line="240" w:lineRule="auto"/>
        <w:rPr>
          <w:rFonts w:ascii="Arial" w:hAnsi="Arial" w:cs="Arial"/>
          <w:sz w:val="24"/>
          <w:szCs w:val="24"/>
        </w:rPr>
      </w:pPr>
    </w:p>
    <w:p w14:paraId="6C3767D0" w14:textId="627ECB6E" w:rsidR="006F2105" w:rsidRPr="007E596A" w:rsidRDefault="00D01B6C" w:rsidP="006F2105">
      <w:pPr>
        <w:widowControl w:val="0"/>
        <w:spacing w:after="0" w:line="240" w:lineRule="auto"/>
        <w:rPr>
          <w:rFonts w:ascii="Arial" w:hAnsi="Arial" w:cs="Arial"/>
          <w:sz w:val="24"/>
          <w:szCs w:val="24"/>
        </w:rPr>
      </w:pPr>
      <w:r w:rsidRPr="007E596A">
        <w:rPr>
          <w:rFonts w:ascii="Arial" w:hAnsi="Arial" w:cs="Arial"/>
          <w:sz w:val="24"/>
          <w:szCs w:val="24"/>
        </w:rPr>
        <w:t xml:space="preserve">By funding special education based on general enrolment and statistical estimates, the Ministry of Education abdicates responsibility for adequate programming. Boards and schools </w:t>
      </w:r>
      <w:r w:rsidR="000A03AC" w:rsidRPr="007E596A">
        <w:rPr>
          <w:rFonts w:ascii="Arial" w:hAnsi="Arial" w:cs="Arial"/>
          <w:sz w:val="24"/>
          <w:szCs w:val="24"/>
        </w:rPr>
        <w:t>are forced to</w:t>
      </w:r>
      <w:r w:rsidRPr="007E596A">
        <w:rPr>
          <w:rFonts w:ascii="Arial" w:hAnsi="Arial" w:cs="Arial"/>
          <w:sz w:val="24"/>
          <w:szCs w:val="24"/>
        </w:rPr>
        <w:t xml:space="preserve"> focus on rationing resources rather than meeting</w:t>
      </w:r>
      <w:r w:rsidR="008A4B52" w:rsidRPr="007E596A">
        <w:rPr>
          <w:rFonts w:ascii="Arial" w:hAnsi="Arial" w:cs="Arial"/>
          <w:sz w:val="24"/>
          <w:szCs w:val="24"/>
        </w:rPr>
        <w:t xml:space="preserve"> the</w:t>
      </w:r>
      <w:r w:rsidRPr="007E596A">
        <w:rPr>
          <w:rFonts w:ascii="Arial" w:hAnsi="Arial" w:cs="Arial"/>
          <w:sz w:val="24"/>
          <w:szCs w:val="24"/>
        </w:rPr>
        <w:t xml:space="preserve"> needs</w:t>
      </w:r>
      <w:r w:rsidR="008A4B52" w:rsidRPr="007E596A">
        <w:rPr>
          <w:rFonts w:ascii="Arial" w:hAnsi="Arial" w:cs="Arial"/>
          <w:sz w:val="24"/>
          <w:szCs w:val="24"/>
        </w:rPr>
        <w:t xml:space="preserve"> of children with disabilities</w:t>
      </w:r>
      <w:r w:rsidRPr="007E596A">
        <w:rPr>
          <w:rFonts w:ascii="Arial" w:hAnsi="Arial" w:cs="Arial"/>
          <w:sz w:val="24"/>
          <w:szCs w:val="24"/>
        </w:rPr>
        <w:t>.</w:t>
      </w:r>
    </w:p>
    <w:p w14:paraId="18B9C9B4" w14:textId="77777777" w:rsidR="00D01B6C" w:rsidRPr="007E596A" w:rsidRDefault="00D01B6C" w:rsidP="006F2105">
      <w:pPr>
        <w:widowControl w:val="0"/>
        <w:spacing w:after="0" w:line="240" w:lineRule="auto"/>
        <w:rPr>
          <w:rFonts w:ascii="Arial" w:hAnsi="Arial" w:cs="Arial"/>
          <w:color w:val="7030A0"/>
          <w:sz w:val="24"/>
          <w:szCs w:val="24"/>
        </w:rPr>
      </w:pPr>
    </w:p>
    <w:p w14:paraId="28BE7452" w14:textId="48EB794F" w:rsidR="002A329C" w:rsidRPr="007E596A" w:rsidRDefault="002A329C" w:rsidP="007E596A">
      <w:pPr>
        <w:pStyle w:val="Heading1"/>
        <w:rPr>
          <w:highlight w:val="cyan"/>
        </w:rPr>
      </w:pPr>
      <w:r w:rsidRPr="007E596A">
        <w:t>The current special education funding model</w:t>
      </w:r>
    </w:p>
    <w:p w14:paraId="12453169" w14:textId="3EED17FF" w:rsidR="005C3144" w:rsidRPr="007E596A" w:rsidRDefault="005C3144" w:rsidP="00BE2915">
      <w:pPr>
        <w:rPr>
          <w:rFonts w:ascii="Arial" w:hAnsi="Arial" w:cs="Arial"/>
          <w:sz w:val="24"/>
          <w:szCs w:val="24"/>
        </w:rPr>
      </w:pPr>
      <w:r w:rsidRPr="007E596A">
        <w:rPr>
          <w:rFonts w:ascii="Arial" w:eastAsia="Calibri" w:hAnsi="Arial" w:cs="Arial"/>
          <w:sz w:val="24"/>
          <w:szCs w:val="24"/>
        </w:rPr>
        <w:t>The administration of special education resources has grown more complex over the years, largely due to the addition of small funding envelopes that try to address the most obvious funding gaps. Each envelope has a separate set of eligibility and reporting rules, increasing the administrative burden on district school boards, schools, and education workers. An overcomplicated funding model also decreases government transparency and, more importantly, thwarts advocacy efforts because educators and parents cannot always keep up with the ever-changing technical terms.</w:t>
      </w:r>
    </w:p>
    <w:p w14:paraId="71783E78" w14:textId="78A0A879" w:rsidR="00BE2915" w:rsidRDefault="005C3144" w:rsidP="00BE2915">
      <w:pPr>
        <w:rPr>
          <w:rFonts w:ascii="Arial" w:hAnsi="Arial" w:cs="Arial"/>
          <w:sz w:val="24"/>
          <w:szCs w:val="24"/>
        </w:rPr>
      </w:pPr>
      <w:r w:rsidRPr="007E596A">
        <w:rPr>
          <w:rFonts w:ascii="Arial" w:hAnsi="Arial" w:cs="Arial"/>
          <w:sz w:val="24"/>
          <w:szCs w:val="24"/>
        </w:rPr>
        <w:t>For the 2024-25 school year, s</w:t>
      </w:r>
      <w:r w:rsidR="00BE2915" w:rsidRPr="007E596A">
        <w:rPr>
          <w:rFonts w:ascii="Arial" w:hAnsi="Arial" w:cs="Arial"/>
          <w:sz w:val="24"/>
          <w:szCs w:val="24"/>
        </w:rPr>
        <w:t xml:space="preserve">pecial education funding is distributed </w:t>
      </w:r>
      <w:r w:rsidR="003E6F48" w:rsidRPr="007E596A">
        <w:rPr>
          <w:rFonts w:ascii="Arial" w:hAnsi="Arial" w:cs="Arial"/>
          <w:sz w:val="24"/>
          <w:szCs w:val="24"/>
        </w:rPr>
        <w:t>through</w:t>
      </w:r>
      <w:r w:rsidR="00BE2915" w:rsidRPr="007E596A">
        <w:rPr>
          <w:rFonts w:ascii="Arial" w:hAnsi="Arial" w:cs="Arial"/>
          <w:sz w:val="24"/>
          <w:szCs w:val="24"/>
        </w:rPr>
        <w:t xml:space="preserve"> four major allocations:</w:t>
      </w:r>
    </w:p>
    <w:p w14:paraId="62E3ADC1" w14:textId="77777777" w:rsidR="00127509" w:rsidRPr="00127509" w:rsidRDefault="00127509" w:rsidP="00127509">
      <w:pPr>
        <w:rPr>
          <w:rFonts w:ascii="Arial" w:eastAsia="Calibri" w:hAnsi="Arial" w:cs="Arial"/>
          <w:kern w:val="2"/>
          <w:sz w:val="24"/>
          <w:szCs w:val="24"/>
          <w:lang w:val="en-CA"/>
          <w14:ligatures w14:val="standardContextual"/>
        </w:rPr>
      </w:pPr>
      <w:r w:rsidRPr="00127509">
        <w:rPr>
          <w:rFonts w:ascii="Arial" w:eastAsia="Calibri" w:hAnsi="Arial" w:cs="Arial"/>
          <w:kern w:val="2"/>
          <w:sz w:val="24"/>
          <w:szCs w:val="24"/>
          <w:lang w:val="en-CA"/>
          <w14:ligatures w14:val="standardContextual"/>
        </w:rPr>
        <w:lastRenderedPageBreak/>
        <w:t>Table 1 Special education funding, amount per allocation, allocation criteria, limitations, and allocation as a share of total special education funding, 2024-25</w:t>
      </w:r>
    </w:p>
    <w:p w14:paraId="538DB2BC"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Allocation name</w:t>
      </w:r>
    </w:p>
    <w:p w14:paraId="7E0EA62B" w14:textId="77777777" w:rsidR="00127509" w:rsidRPr="00127509" w:rsidRDefault="00127509" w:rsidP="00127509">
      <w:pPr>
        <w:rPr>
          <w:rFonts w:ascii="Arial" w:eastAsia="Calibri" w:hAnsi="Arial" w:cs="Arial"/>
          <w:kern w:val="2"/>
          <w:sz w:val="24"/>
          <w:szCs w:val="24"/>
          <w:lang w:val="en-CA"/>
          <w14:ligatures w14:val="standardContextual"/>
        </w:rPr>
      </w:pPr>
      <w:r w:rsidRPr="00127509">
        <w:rPr>
          <w:rFonts w:ascii="Arial" w:eastAsia="Calibri" w:hAnsi="Arial" w:cs="Arial"/>
          <w:kern w:val="2"/>
          <w:sz w:val="24"/>
          <w:szCs w:val="24"/>
          <w:lang w:val="en-CA"/>
          <w14:ligatures w14:val="standardContextual"/>
        </w:rPr>
        <w:t>Per-pupil allocation</w:t>
      </w:r>
    </w:p>
    <w:p w14:paraId="1309B197" w14:textId="77777777" w:rsidR="00127509" w:rsidRPr="00127509" w:rsidRDefault="00127509" w:rsidP="00127509">
      <w:pPr>
        <w:keepNext/>
        <w:keepLines/>
        <w:spacing w:before="240" w:after="0"/>
        <w:outlineLvl w:val="0"/>
        <w:rPr>
          <w:rFonts w:ascii="Arial" w:eastAsiaTheme="majorEastAsia"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 xml:space="preserve">Amount </w:t>
      </w:r>
      <w:r w:rsidRPr="00127509">
        <w:rPr>
          <w:rFonts w:ascii="Arial" w:eastAsia="Calibri" w:hAnsi="Arial" w:cstheme="majorBidi"/>
          <w:kern w:val="2"/>
          <w:sz w:val="24"/>
          <w:szCs w:val="32"/>
          <w:lang w:val="en-CA"/>
          <w14:ligatures w14:val="standardContextual"/>
        </w:rPr>
        <w:br/>
        <w:t xml:space="preserve">($ millions) </w:t>
      </w:r>
    </w:p>
    <w:p w14:paraId="75EEABF8" w14:textId="77777777" w:rsidR="00127509" w:rsidRPr="00127509" w:rsidRDefault="00127509" w:rsidP="00127509">
      <w:pPr>
        <w:rPr>
          <w:rFonts w:ascii="Arial" w:eastAsia="Calibri" w:hAnsi="Arial" w:cs="Arial"/>
          <w:kern w:val="2"/>
          <w:sz w:val="24"/>
          <w:szCs w:val="24"/>
          <w:lang w:val="en-CA"/>
          <w14:ligatures w14:val="standardContextual"/>
        </w:rPr>
      </w:pPr>
      <w:r w:rsidRPr="00127509">
        <w:rPr>
          <w:rFonts w:ascii="Arial" w:eastAsia="Calibri" w:hAnsi="Arial" w:cs="Arial"/>
          <w:kern w:val="2"/>
          <w:sz w:val="24"/>
          <w:szCs w:val="24"/>
          <w:lang w:val="en-CA"/>
          <w14:ligatures w14:val="standardContextual"/>
        </w:rPr>
        <w:t xml:space="preserve">$1,870 </w:t>
      </w:r>
    </w:p>
    <w:p w14:paraId="6048392F"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Allocation criteria</w:t>
      </w:r>
    </w:p>
    <w:p w14:paraId="4DC6B616" w14:textId="77777777" w:rsidR="00127509" w:rsidRPr="00127509" w:rsidRDefault="00127509" w:rsidP="00127509">
      <w:pPr>
        <w:rPr>
          <w:rFonts w:ascii="Arial" w:hAnsi="Arial"/>
          <w:kern w:val="2"/>
          <w:sz w:val="24"/>
          <w:lang w:val="en-CA"/>
          <w14:ligatures w14:val="standardContextual"/>
        </w:rPr>
      </w:pPr>
      <w:bookmarkStart w:id="0" w:name="_Hlk192585840"/>
      <w:r w:rsidRPr="00127509">
        <w:rPr>
          <w:rFonts w:ascii="Arial" w:hAnsi="Arial"/>
          <w:kern w:val="2"/>
          <w:sz w:val="24"/>
          <w:lang w:val="en-CA"/>
          <w14:ligatures w14:val="standardContextual"/>
        </w:rPr>
        <w:t>general enrolment</w:t>
      </w:r>
      <w:bookmarkEnd w:id="0"/>
    </w:p>
    <w:p w14:paraId="5B44470D"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Limitation</w:t>
      </w:r>
    </w:p>
    <w:p w14:paraId="6566AE7D" w14:textId="77777777" w:rsidR="00127509" w:rsidRPr="00127509" w:rsidRDefault="00127509" w:rsidP="00127509">
      <w:pPr>
        <w:rPr>
          <w:rFonts w:ascii="Arial" w:eastAsia="Calibri" w:hAnsi="Arial" w:cs="Arial"/>
          <w:kern w:val="2"/>
          <w:sz w:val="24"/>
          <w:szCs w:val="24"/>
          <w:lang w:val="en-CA"/>
          <w14:ligatures w14:val="standardContextual"/>
        </w:rPr>
      </w:pPr>
      <w:r w:rsidRPr="00127509">
        <w:rPr>
          <w:rFonts w:ascii="Arial" w:eastAsia="Calibri" w:hAnsi="Arial" w:cs="Arial"/>
          <w:kern w:val="2"/>
          <w:sz w:val="24"/>
          <w:szCs w:val="24"/>
          <w:lang w:val="en-CA"/>
          <w14:ligatures w14:val="standardContextual"/>
        </w:rPr>
        <w:t>disregards real need</w:t>
      </w:r>
    </w:p>
    <w:p w14:paraId="2F40D969"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 xml:space="preserve">Share of funding </w:t>
      </w:r>
    </w:p>
    <w:p w14:paraId="65E16F7A" w14:textId="77777777" w:rsidR="00127509" w:rsidRPr="00127509" w:rsidRDefault="00127509" w:rsidP="00127509">
      <w:pPr>
        <w:rPr>
          <w:rFonts w:ascii="Arial" w:hAnsi="Arial"/>
          <w:kern w:val="2"/>
          <w:sz w:val="24"/>
          <w:lang w:val="en-CA"/>
          <w14:ligatures w14:val="standardContextual"/>
        </w:rPr>
      </w:pPr>
      <w:r w:rsidRPr="00127509">
        <w:rPr>
          <w:rFonts w:ascii="Arial" w:eastAsia="Calibri" w:hAnsi="Arial" w:cs="Arial"/>
          <w:kern w:val="2"/>
          <w:sz w:val="24"/>
          <w:szCs w:val="24"/>
          <w:lang w:val="en-CA"/>
          <w14:ligatures w14:val="standardContextual"/>
        </w:rPr>
        <w:t>50%</w:t>
      </w:r>
    </w:p>
    <w:p w14:paraId="147E8F76"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Allocation name</w:t>
      </w:r>
    </w:p>
    <w:p w14:paraId="56526A2C"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Differentiated needs allocation</w:t>
      </w:r>
    </w:p>
    <w:p w14:paraId="32BFFEB0" w14:textId="77777777" w:rsidR="00127509" w:rsidRPr="00127509" w:rsidRDefault="00127509" w:rsidP="00127509">
      <w:pPr>
        <w:keepNext/>
        <w:keepLines/>
        <w:spacing w:before="240" w:after="0"/>
        <w:outlineLvl w:val="0"/>
        <w:rPr>
          <w:rFonts w:ascii="Arial" w:eastAsiaTheme="majorEastAsia"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 xml:space="preserve">Amount </w:t>
      </w:r>
      <w:r w:rsidRPr="00127509">
        <w:rPr>
          <w:rFonts w:ascii="Arial" w:eastAsia="Calibri" w:hAnsi="Arial" w:cstheme="majorBidi"/>
          <w:kern w:val="2"/>
          <w:sz w:val="24"/>
          <w:szCs w:val="32"/>
          <w:lang w:val="en-CA"/>
          <w14:ligatures w14:val="standardContextual"/>
        </w:rPr>
        <w:br/>
        <w:t xml:space="preserve">($ millions) </w:t>
      </w:r>
    </w:p>
    <w:p w14:paraId="0A9A8493"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$1,380</w:t>
      </w:r>
    </w:p>
    <w:p w14:paraId="64DCBEB0"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Allocation criteria</w:t>
      </w:r>
    </w:p>
    <w:p w14:paraId="038C4420"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modelled needs</w:t>
      </w:r>
    </w:p>
    <w:p w14:paraId="371E3F77"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Limitation</w:t>
      </w:r>
    </w:p>
    <w:p w14:paraId="1E7588C8"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flawed prediction structure</w:t>
      </w:r>
    </w:p>
    <w:p w14:paraId="1E0D1E40" w14:textId="77777777" w:rsidR="00127509" w:rsidRPr="00127509" w:rsidRDefault="00127509" w:rsidP="00127509">
      <w:pPr>
        <w:keepNext/>
        <w:keepLines/>
        <w:spacing w:before="240" w:after="0"/>
        <w:outlineLvl w:val="0"/>
        <w:rPr>
          <w:rFonts w:ascii="Arial" w:eastAsiaTheme="majorEastAsia"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 xml:space="preserve">Share of funding </w:t>
      </w:r>
    </w:p>
    <w:p w14:paraId="784E3C90"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37%</w:t>
      </w:r>
    </w:p>
    <w:p w14:paraId="6C764CCE"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Allocation name</w:t>
      </w:r>
    </w:p>
    <w:p w14:paraId="116D7BA4"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Complex supports allocation</w:t>
      </w:r>
    </w:p>
    <w:p w14:paraId="302CFF59" w14:textId="77777777" w:rsidR="00127509" w:rsidRPr="00127509" w:rsidRDefault="00127509" w:rsidP="00127509">
      <w:pPr>
        <w:keepNext/>
        <w:keepLines/>
        <w:spacing w:before="240" w:after="0"/>
        <w:outlineLvl w:val="0"/>
        <w:rPr>
          <w:rFonts w:ascii="Arial" w:eastAsiaTheme="majorEastAsia"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 xml:space="preserve">Amount </w:t>
      </w:r>
      <w:r w:rsidRPr="00127509">
        <w:rPr>
          <w:rFonts w:ascii="Arial" w:eastAsia="Calibri" w:hAnsi="Arial" w:cstheme="majorBidi"/>
          <w:kern w:val="2"/>
          <w:sz w:val="24"/>
          <w:szCs w:val="32"/>
          <w:lang w:val="en-CA"/>
          <w14:ligatures w14:val="standardContextual"/>
        </w:rPr>
        <w:br/>
        <w:t xml:space="preserve">($ millions) </w:t>
      </w:r>
    </w:p>
    <w:p w14:paraId="494CB8B9"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$330.2</w:t>
      </w:r>
    </w:p>
    <w:p w14:paraId="1F575E50"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Allocation criteria</w:t>
      </w:r>
    </w:p>
    <w:p w14:paraId="75C9D303"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known needs</w:t>
      </w:r>
    </w:p>
    <w:p w14:paraId="5AB123E2"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lastRenderedPageBreak/>
        <w:t>Limitation</w:t>
      </w:r>
    </w:p>
    <w:p w14:paraId="58BA7070" w14:textId="57A613DE" w:rsidR="00127509" w:rsidRPr="00127509" w:rsidRDefault="00127509" w:rsidP="267B8135">
      <w:pPr>
        <w:rPr>
          <w:rFonts w:ascii="Arial" w:hAnsi="Arial"/>
          <w:kern w:val="2"/>
          <w:sz w:val="24"/>
          <w:szCs w:val="24"/>
          <w:lang w:val="en-CA"/>
          <w14:ligatures w14:val="standardContextual"/>
        </w:rPr>
      </w:pPr>
      <w:r w:rsidRPr="267B8135">
        <w:rPr>
          <w:rFonts w:ascii="Arial" w:hAnsi="Arial"/>
          <w:kern w:val="2"/>
          <w:sz w:val="24"/>
          <w:szCs w:val="24"/>
          <w:lang w:val="en-CA"/>
          <w14:ligatures w14:val="standardContextual"/>
        </w:rPr>
        <w:t>Strict eligibility and lengthy application</w:t>
      </w:r>
      <w:r w:rsidR="4650528D" w:rsidRPr="267B8135">
        <w:rPr>
          <w:rFonts w:ascii="Arial" w:hAnsi="Arial"/>
          <w:kern w:val="2"/>
          <w:sz w:val="24"/>
          <w:szCs w:val="24"/>
          <w:lang w:val="en-CA"/>
          <w14:ligatures w14:val="standardContextual"/>
        </w:rPr>
        <w:t xml:space="preserve"> process; only a portion of the costs is provided to boards</w:t>
      </w:r>
    </w:p>
    <w:p w14:paraId="037862A4" w14:textId="77777777" w:rsidR="00127509" w:rsidRPr="00127509" w:rsidRDefault="00127509" w:rsidP="00127509">
      <w:pPr>
        <w:keepNext/>
        <w:keepLines/>
        <w:spacing w:before="240" w:after="0"/>
        <w:outlineLvl w:val="0"/>
        <w:rPr>
          <w:rFonts w:ascii="Arial" w:eastAsiaTheme="majorEastAsia"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 xml:space="preserve">Share of funding </w:t>
      </w:r>
    </w:p>
    <w:p w14:paraId="3C6CDAE9" w14:textId="77777777" w:rsidR="00127509" w:rsidRPr="00127509" w:rsidRDefault="00127509" w:rsidP="00127509">
      <w:pPr>
        <w:rPr>
          <w:rFonts w:ascii="Arial" w:hAnsi="Arial"/>
          <w:kern w:val="2"/>
          <w:sz w:val="24"/>
          <w:lang w:val="en-CA"/>
          <w14:ligatures w14:val="standardContextual"/>
        </w:rPr>
      </w:pPr>
      <w:r w:rsidRPr="267B8135">
        <w:rPr>
          <w:rFonts w:ascii="Arial" w:hAnsi="Arial"/>
          <w:kern w:val="2"/>
          <w:sz w:val="24"/>
          <w:szCs w:val="24"/>
          <w:lang w:val="en-CA"/>
          <w14:ligatures w14:val="standardContextual"/>
        </w:rPr>
        <w:t>9%</w:t>
      </w:r>
    </w:p>
    <w:p w14:paraId="529DF86F"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Allocation name</w:t>
      </w:r>
    </w:p>
    <w:p w14:paraId="11508EB2"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 xml:space="preserve">Specialized equipment allocation </w:t>
      </w:r>
    </w:p>
    <w:p w14:paraId="5A7F0A5F" w14:textId="77777777" w:rsidR="00127509" w:rsidRPr="00127509" w:rsidRDefault="00127509" w:rsidP="00127509">
      <w:pPr>
        <w:keepNext/>
        <w:keepLines/>
        <w:spacing w:before="240" w:after="0"/>
        <w:outlineLvl w:val="0"/>
        <w:rPr>
          <w:rFonts w:ascii="Arial" w:eastAsiaTheme="majorEastAsia" w:hAnsi="Arial" w:cstheme="majorBidi"/>
          <w:kern w:val="2"/>
          <w:sz w:val="24"/>
          <w:szCs w:val="32"/>
          <w:lang w:val="en-CA"/>
          <w14:ligatures w14:val="standardContextual"/>
        </w:rPr>
      </w:pPr>
      <w:r w:rsidRPr="00127509">
        <w:rPr>
          <w:rFonts w:ascii="Arial" w:eastAsiaTheme="majorEastAsia" w:hAnsi="Arial" w:cstheme="majorBidi"/>
          <w:kern w:val="2"/>
          <w:sz w:val="24"/>
          <w:szCs w:val="32"/>
          <w:lang w:val="en-CA"/>
          <w14:ligatures w14:val="standardContextual"/>
        </w:rPr>
        <w:t xml:space="preserve">Amount </w:t>
      </w:r>
      <w:r w:rsidRPr="00127509">
        <w:rPr>
          <w:rFonts w:ascii="Arial" w:eastAsiaTheme="majorEastAsia" w:hAnsi="Arial" w:cstheme="majorBidi"/>
          <w:kern w:val="2"/>
          <w:sz w:val="24"/>
          <w:szCs w:val="32"/>
          <w:lang w:val="en-CA"/>
          <w14:ligatures w14:val="standardContextual"/>
        </w:rPr>
        <w:br/>
        <w:t xml:space="preserve">($ millions) </w:t>
      </w:r>
    </w:p>
    <w:p w14:paraId="56BDB1D5"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 xml:space="preserve">$134.1 </w:t>
      </w:r>
    </w:p>
    <w:p w14:paraId="465C119E"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Theme="majorEastAsia" w:hAnsi="Arial" w:cstheme="majorBidi"/>
          <w:kern w:val="2"/>
          <w:sz w:val="24"/>
          <w:szCs w:val="32"/>
          <w:lang w:val="en-CA"/>
          <w14:ligatures w14:val="standardContextual"/>
        </w:rPr>
        <w:t>Allocation</w:t>
      </w:r>
      <w:r w:rsidRPr="00127509">
        <w:rPr>
          <w:rFonts w:ascii="Arial" w:eastAsia="Calibri" w:hAnsi="Arial" w:cstheme="majorBidi"/>
          <w:kern w:val="2"/>
          <w:sz w:val="24"/>
          <w:szCs w:val="32"/>
          <w:lang w:val="en-CA"/>
          <w14:ligatures w14:val="standardContextual"/>
        </w:rPr>
        <w:t xml:space="preserve"> criteria</w:t>
      </w:r>
    </w:p>
    <w:p w14:paraId="551CC10D"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 xml:space="preserve">known needs </w:t>
      </w:r>
    </w:p>
    <w:p w14:paraId="4B26E3B8"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Limitation</w:t>
      </w:r>
    </w:p>
    <w:p w14:paraId="2DFAD513"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 xml:space="preserve">Strict eligibility and lengthy application process; only a portion of the costs is provided to boards </w:t>
      </w:r>
    </w:p>
    <w:p w14:paraId="0ACCFB78" w14:textId="77777777" w:rsidR="00127509" w:rsidRPr="00127509" w:rsidRDefault="00127509" w:rsidP="00127509">
      <w:pPr>
        <w:keepNext/>
        <w:keepLines/>
        <w:spacing w:before="240" w:after="0"/>
        <w:outlineLvl w:val="0"/>
        <w:rPr>
          <w:rFonts w:ascii="Arial" w:eastAsia="Calibri" w:hAnsi="Arial" w:cstheme="majorBidi"/>
          <w:kern w:val="2"/>
          <w:sz w:val="24"/>
          <w:szCs w:val="32"/>
          <w:lang w:val="en-CA"/>
          <w14:ligatures w14:val="standardContextual"/>
        </w:rPr>
      </w:pPr>
      <w:r w:rsidRPr="00127509">
        <w:rPr>
          <w:rFonts w:ascii="Arial" w:eastAsia="Calibri" w:hAnsi="Arial" w:cstheme="majorBidi"/>
          <w:kern w:val="2"/>
          <w:sz w:val="24"/>
          <w:szCs w:val="32"/>
          <w:lang w:val="en-CA"/>
          <w14:ligatures w14:val="standardContextual"/>
        </w:rPr>
        <w:t xml:space="preserve">Share of funding </w:t>
      </w:r>
    </w:p>
    <w:p w14:paraId="74D7DB98" w14:textId="77777777" w:rsidR="00127509" w:rsidRPr="00127509" w:rsidRDefault="00127509" w:rsidP="00127509">
      <w:pPr>
        <w:rPr>
          <w:rFonts w:ascii="Arial" w:hAnsi="Arial"/>
          <w:kern w:val="2"/>
          <w:sz w:val="24"/>
          <w:lang w:val="en-CA"/>
          <w14:ligatures w14:val="standardContextual"/>
        </w:rPr>
      </w:pPr>
      <w:r w:rsidRPr="00127509">
        <w:rPr>
          <w:rFonts w:ascii="Arial" w:eastAsia="Calibri" w:hAnsi="Arial" w:cs="Arial"/>
          <w:kern w:val="2"/>
          <w:sz w:val="24"/>
          <w:szCs w:val="24"/>
          <w:lang w:val="en-CA"/>
          <w14:ligatures w14:val="standardContextual"/>
        </w:rPr>
        <w:t>4%</w:t>
      </w:r>
    </w:p>
    <w:p w14:paraId="18104E7B" w14:textId="77777777" w:rsidR="00127509" w:rsidRPr="00127509" w:rsidRDefault="00127509" w:rsidP="00127509">
      <w:pPr>
        <w:keepNext/>
        <w:keepLines/>
        <w:spacing w:before="240" w:after="0"/>
        <w:outlineLvl w:val="0"/>
        <w:rPr>
          <w:rFonts w:ascii="Arial" w:eastAsiaTheme="majorEastAsia" w:hAnsi="Arial" w:cstheme="majorBidi"/>
          <w:kern w:val="2"/>
          <w:sz w:val="24"/>
          <w:szCs w:val="32"/>
          <w:lang w:val="en-CA"/>
          <w14:ligatures w14:val="standardContextual"/>
        </w:rPr>
      </w:pPr>
      <w:r w:rsidRPr="00127509">
        <w:rPr>
          <w:rFonts w:ascii="Arial" w:eastAsiaTheme="majorEastAsia" w:hAnsi="Arial" w:cstheme="majorBidi"/>
          <w:kern w:val="2"/>
          <w:sz w:val="24"/>
          <w:szCs w:val="32"/>
          <w:lang w:val="en-CA"/>
          <w14:ligatures w14:val="standardContextual"/>
        </w:rPr>
        <w:t xml:space="preserve">Total </w:t>
      </w:r>
    </w:p>
    <w:p w14:paraId="449F8CB1" w14:textId="77777777" w:rsidR="00127509" w:rsidRPr="00127509" w:rsidRDefault="00127509" w:rsidP="00127509">
      <w:pPr>
        <w:rPr>
          <w:rFonts w:ascii="Arial" w:hAnsi="Arial"/>
          <w:kern w:val="2"/>
          <w:sz w:val="24"/>
          <w:lang w:val="en-CA"/>
          <w14:ligatures w14:val="standardContextual"/>
        </w:rPr>
      </w:pPr>
      <w:r w:rsidRPr="00127509">
        <w:rPr>
          <w:rFonts w:ascii="Arial" w:hAnsi="Arial"/>
          <w:kern w:val="2"/>
          <w:sz w:val="24"/>
          <w:lang w:val="en-CA"/>
          <w14:ligatures w14:val="standardContextual"/>
        </w:rPr>
        <w:t>$3710</w:t>
      </w:r>
    </w:p>
    <w:p w14:paraId="09885DDB" w14:textId="37E52B22" w:rsidR="00BE2915" w:rsidRPr="007E596A" w:rsidRDefault="00127509" w:rsidP="00127509">
      <w:pPr>
        <w:spacing w:after="0"/>
        <w:rPr>
          <w:rFonts w:ascii="Arial" w:hAnsi="Arial" w:cs="Arial"/>
          <w:sz w:val="24"/>
          <w:szCs w:val="24"/>
        </w:rPr>
      </w:pPr>
      <w:r w:rsidRPr="00127509">
        <w:rPr>
          <w:rFonts w:ascii="Arial" w:hAnsi="Arial"/>
          <w:kern w:val="2"/>
          <w:sz w:val="24"/>
          <w:lang w:val="en-CA"/>
          <w14:ligatures w14:val="standardContextual"/>
        </w:rPr>
        <w:t xml:space="preserve">Source: Ontario Ministry of Education, </w:t>
      </w:r>
      <w:hyperlink r:id="rId10">
        <w:r w:rsidRPr="00127509">
          <w:rPr>
            <w:rFonts w:ascii="Arial" w:hAnsi="Arial"/>
            <w:color w:val="0563C1"/>
            <w:kern w:val="2"/>
            <w:sz w:val="24"/>
            <w:u w:val="single"/>
            <w:lang w:val="en-CA"/>
            <w14:ligatures w14:val="standardContextual"/>
          </w:rPr>
          <w:t>Guide to the 2024-2025 Special Education Fund</w:t>
        </w:r>
      </w:hyperlink>
    </w:p>
    <w:p w14:paraId="67FE1557" w14:textId="77777777" w:rsidR="00127509" w:rsidRDefault="00127509" w:rsidP="007E596A">
      <w:pPr>
        <w:pStyle w:val="Heading1"/>
      </w:pPr>
    </w:p>
    <w:p w14:paraId="610B5C55" w14:textId="532906FE" w:rsidR="00F5056C" w:rsidRPr="007E596A" w:rsidRDefault="00F5056C" w:rsidP="007E596A">
      <w:pPr>
        <w:pStyle w:val="Heading1"/>
      </w:pPr>
      <w:r w:rsidRPr="007E596A">
        <w:t>What underfunding looks like in practice</w:t>
      </w:r>
    </w:p>
    <w:p w14:paraId="633DE32A" w14:textId="3AFB9837" w:rsidR="004C4A85" w:rsidRPr="007E596A" w:rsidRDefault="004C4A85" w:rsidP="004C4A85">
      <w:pPr>
        <w:jc w:val="both"/>
        <w:rPr>
          <w:rFonts w:ascii="Arial" w:eastAsia="Times New Roman" w:hAnsi="Arial" w:cs="Arial"/>
          <w:sz w:val="24"/>
          <w:szCs w:val="24"/>
        </w:rPr>
      </w:pPr>
      <w:r w:rsidRPr="007E596A">
        <w:rPr>
          <w:rFonts w:ascii="Arial" w:eastAsia="Times New Roman" w:hAnsi="Arial" w:cs="Arial"/>
          <w:sz w:val="24"/>
          <w:szCs w:val="24"/>
        </w:rPr>
        <w:t xml:space="preserve">In 2022-23, the last year this data is available, school boards received an estimated $4,200 in Differentiated Special Needs Allocation (DSENA) per student with special education needs. This was the second-largest funding envelope and the one meant to cover all students with special education needs. In practice, this amount translated to very little day-to-day support, for example: </w:t>
      </w:r>
    </w:p>
    <w:p w14:paraId="5840A10A" w14:textId="77777777" w:rsidR="004C4A85" w:rsidRPr="007E596A" w:rsidRDefault="004C4A85" w:rsidP="004C4A85">
      <w:pPr>
        <w:pStyle w:val="ListParagraph"/>
        <w:numPr>
          <w:ilvl w:val="0"/>
          <w:numId w:val="6"/>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7E596A">
        <w:rPr>
          <w:rFonts w:ascii="Arial" w:eastAsia="Times New Roman" w:hAnsi="Arial" w:cs="Arial"/>
          <w:color w:val="000000"/>
          <w:sz w:val="24"/>
          <w:szCs w:val="24"/>
        </w:rPr>
        <w:t xml:space="preserve">Classroom teacher: 1 hour and 30 minutes per week, </w:t>
      </w:r>
      <w:r w:rsidRPr="007E596A">
        <w:rPr>
          <w:rFonts w:ascii="Arial" w:eastAsia="Times New Roman" w:hAnsi="Arial" w:cs="Arial"/>
          <w:color w:val="000000"/>
          <w:sz w:val="24"/>
          <w:szCs w:val="24"/>
          <w:u w:val="single"/>
        </w:rPr>
        <w:t>or</w:t>
      </w:r>
      <w:r w:rsidRPr="007E596A">
        <w:rPr>
          <w:rFonts w:ascii="Arial" w:eastAsia="Times New Roman" w:hAnsi="Arial" w:cs="Arial"/>
          <w:color w:val="000000"/>
          <w:sz w:val="24"/>
          <w:szCs w:val="24"/>
        </w:rPr>
        <w:t xml:space="preserve"> </w:t>
      </w:r>
    </w:p>
    <w:p w14:paraId="426EF438" w14:textId="77777777" w:rsidR="004C4A85" w:rsidRPr="007E596A" w:rsidRDefault="004C4A85" w:rsidP="004C4A85">
      <w:pPr>
        <w:pStyle w:val="ListParagraph"/>
        <w:numPr>
          <w:ilvl w:val="0"/>
          <w:numId w:val="6"/>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7E596A">
        <w:rPr>
          <w:rFonts w:ascii="Arial" w:eastAsia="Times New Roman" w:hAnsi="Arial" w:cs="Arial"/>
          <w:color w:val="000000"/>
          <w:sz w:val="24"/>
          <w:szCs w:val="24"/>
        </w:rPr>
        <w:t xml:space="preserve">Educational assistant: 2 hours and 30 minutes per week, </w:t>
      </w:r>
      <w:r w:rsidRPr="007E596A">
        <w:rPr>
          <w:rFonts w:ascii="Arial" w:eastAsia="Times New Roman" w:hAnsi="Arial" w:cs="Arial"/>
          <w:color w:val="000000"/>
          <w:sz w:val="24"/>
          <w:szCs w:val="24"/>
          <w:u w:val="single"/>
        </w:rPr>
        <w:t>or</w:t>
      </w:r>
      <w:r w:rsidRPr="007E596A">
        <w:rPr>
          <w:rFonts w:ascii="Arial" w:eastAsia="Times New Roman" w:hAnsi="Arial" w:cs="Arial"/>
          <w:color w:val="000000"/>
          <w:sz w:val="24"/>
          <w:szCs w:val="24"/>
        </w:rPr>
        <w:t xml:space="preserve">  </w:t>
      </w:r>
    </w:p>
    <w:p w14:paraId="359BDE4A" w14:textId="77777777" w:rsidR="004C4A85" w:rsidRPr="007E596A" w:rsidRDefault="004C4A85" w:rsidP="004C4A85">
      <w:pPr>
        <w:pStyle w:val="ListParagraph"/>
        <w:numPr>
          <w:ilvl w:val="0"/>
          <w:numId w:val="6"/>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7E596A">
        <w:rPr>
          <w:rFonts w:ascii="Arial" w:eastAsia="Times New Roman" w:hAnsi="Arial" w:cs="Arial"/>
          <w:color w:val="000000"/>
          <w:sz w:val="24"/>
          <w:szCs w:val="24"/>
        </w:rPr>
        <w:t xml:space="preserve">Specialists: between 1 hour and 1 hour and 30 minutes per week </w:t>
      </w:r>
    </w:p>
    <w:p w14:paraId="4DC1A09F" w14:textId="40C29A00" w:rsidR="00F5056C" w:rsidRPr="007E596A" w:rsidRDefault="007E5254" w:rsidP="00EF1853">
      <w:pPr>
        <w:pBdr>
          <w:top w:val="nil"/>
          <w:left w:val="nil"/>
          <w:bottom w:val="nil"/>
          <w:right w:val="nil"/>
          <w:between w:val="nil"/>
        </w:pBdr>
        <w:spacing w:after="0" w:line="240" w:lineRule="auto"/>
        <w:jc w:val="both"/>
        <w:rPr>
          <w:rFonts w:ascii="Arial" w:eastAsia="Calibri" w:hAnsi="Arial" w:cs="Arial"/>
          <w:sz w:val="24"/>
          <w:szCs w:val="24"/>
        </w:rPr>
      </w:pPr>
      <w:r w:rsidRPr="007E596A">
        <w:rPr>
          <w:rFonts w:ascii="Arial" w:eastAsia="Calibri" w:hAnsi="Arial" w:cs="Arial"/>
          <w:sz w:val="24"/>
          <w:szCs w:val="24"/>
        </w:rPr>
        <w:t>Usually, these allocations do not translate into one-to-one appointments with these professionals. For example, 2 hours and 30 minutes with an educational assistant means that the classroom teacher of a regular class with three children with special education needs would have an educational assistant once a week. The other four days of the week, the teacher is alone in the classroom, with a class average of 24.5 for grades 4 to 8</w:t>
      </w:r>
      <w:r w:rsidR="00EF1853" w:rsidRPr="007E596A">
        <w:rPr>
          <w:rFonts w:ascii="Arial" w:eastAsia="Calibri" w:hAnsi="Arial" w:cs="Arial"/>
          <w:sz w:val="24"/>
          <w:szCs w:val="24"/>
        </w:rPr>
        <w:t>.</w:t>
      </w:r>
    </w:p>
    <w:p w14:paraId="403A77E9" w14:textId="77777777" w:rsidR="00EF1853" w:rsidRPr="007E596A" w:rsidRDefault="00EF1853" w:rsidP="00EF1853">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6B395E91" w14:textId="22F28AC0" w:rsidR="00BE2915" w:rsidRPr="007E596A" w:rsidRDefault="00BE2915" w:rsidP="00175AFA">
      <w:pPr>
        <w:rPr>
          <w:rFonts w:ascii="Arial" w:eastAsia="Calibri" w:hAnsi="Arial" w:cs="Arial"/>
          <w:sz w:val="24"/>
          <w:szCs w:val="24"/>
        </w:rPr>
      </w:pPr>
      <w:r w:rsidRPr="007E596A">
        <w:rPr>
          <w:rFonts w:ascii="Arial" w:eastAsia="Times New Roman" w:hAnsi="Arial" w:cs="Arial"/>
          <w:sz w:val="24"/>
          <w:szCs w:val="24"/>
        </w:rPr>
        <w:lastRenderedPageBreak/>
        <w:t>The inadequacy of Ontario’s special education funding model is also evident in the overall number of dedicated special education staff per student with special education needs</w:t>
      </w:r>
      <w:r w:rsidR="000857E3" w:rsidRPr="007E596A">
        <w:rPr>
          <w:rFonts w:ascii="Arial" w:eastAsia="Times New Roman" w:hAnsi="Arial" w:cs="Arial"/>
          <w:sz w:val="24"/>
          <w:szCs w:val="24"/>
        </w:rPr>
        <w:t xml:space="preserve">. </w:t>
      </w:r>
      <w:r w:rsidR="00CD0508" w:rsidRPr="007E596A">
        <w:rPr>
          <w:rFonts w:ascii="Arial" w:eastAsia="Calibri" w:hAnsi="Arial" w:cs="Arial"/>
          <w:sz w:val="24"/>
          <w:szCs w:val="24"/>
        </w:rPr>
        <w:t>On average, English public school boards in Ontario have one special education teacher for every 23 children with special education needs, one educational assistant for every 10 children with special education needs, and one other staff, including specialists, for every 60 children who require special education assistance.</w:t>
      </w:r>
    </w:p>
    <w:p w14:paraId="08F1D00A" w14:textId="0721825D" w:rsidR="000A1375" w:rsidRPr="007E596A" w:rsidRDefault="000A1375" w:rsidP="007E596A">
      <w:pPr>
        <w:pStyle w:val="Heading1"/>
      </w:pPr>
      <w:r w:rsidRPr="007E596A">
        <w:t>Fixing the special education funding formula</w:t>
      </w:r>
    </w:p>
    <w:p w14:paraId="107E5E97" w14:textId="77777777" w:rsidR="00B6760A" w:rsidRPr="007E596A" w:rsidRDefault="00B6760A" w:rsidP="00B6760A">
      <w:pPr>
        <w:spacing w:line="278" w:lineRule="auto"/>
        <w:rPr>
          <w:rFonts w:ascii="Arial" w:eastAsia="Times New Roman" w:hAnsi="Arial" w:cs="Arial"/>
          <w:sz w:val="24"/>
          <w:szCs w:val="24"/>
        </w:rPr>
      </w:pPr>
      <w:r w:rsidRPr="007E596A">
        <w:rPr>
          <w:rFonts w:ascii="Arial" w:eastAsia="Times New Roman" w:hAnsi="Arial" w:cs="Arial"/>
          <w:sz w:val="24"/>
          <w:szCs w:val="24"/>
        </w:rPr>
        <w:t>There are three simple ways to improve the funding formula used in Ontario to help close the gaps between the existing programs and the needed supports:</w:t>
      </w:r>
    </w:p>
    <w:p w14:paraId="5AFF917C" w14:textId="5E463D2C" w:rsidR="00B6760A" w:rsidRPr="007E596A" w:rsidRDefault="00B6760A" w:rsidP="00B6760A">
      <w:pPr>
        <w:pStyle w:val="ListParagraph"/>
        <w:numPr>
          <w:ilvl w:val="0"/>
          <w:numId w:val="5"/>
        </w:numPr>
        <w:spacing w:line="278" w:lineRule="auto"/>
        <w:rPr>
          <w:rFonts w:ascii="Arial" w:eastAsia="Times New Roman" w:hAnsi="Arial" w:cs="Arial"/>
          <w:sz w:val="24"/>
          <w:szCs w:val="24"/>
        </w:rPr>
      </w:pPr>
      <w:r w:rsidRPr="007E596A">
        <w:rPr>
          <w:rFonts w:ascii="Arial" w:eastAsia="Times New Roman" w:hAnsi="Arial" w:cs="Arial"/>
          <w:sz w:val="24"/>
          <w:szCs w:val="24"/>
        </w:rPr>
        <w:t xml:space="preserve">Index special education funding to inflation. </w:t>
      </w:r>
      <w:r w:rsidR="00937EEA" w:rsidRPr="007E596A">
        <w:rPr>
          <w:rFonts w:ascii="Arial" w:eastAsia="Times New Roman" w:hAnsi="Arial" w:cs="Arial"/>
          <w:sz w:val="24"/>
          <w:szCs w:val="24"/>
        </w:rPr>
        <w:t>S</w:t>
      </w:r>
      <w:r w:rsidRPr="007E596A">
        <w:rPr>
          <w:rFonts w:ascii="Arial" w:eastAsia="Times New Roman" w:hAnsi="Arial" w:cs="Arial"/>
          <w:sz w:val="24"/>
          <w:szCs w:val="24"/>
        </w:rPr>
        <w:t>pecial education funding has decreased over the last seven years in inflation-adjusted terms.</w:t>
      </w:r>
    </w:p>
    <w:p w14:paraId="197D1897" w14:textId="77777777" w:rsidR="00B6760A" w:rsidRPr="007E596A" w:rsidRDefault="00B6760A" w:rsidP="00B6760A">
      <w:pPr>
        <w:pStyle w:val="ListParagraph"/>
        <w:numPr>
          <w:ilvl w:val="0"/>
          <w:numId w:val="5"/>
        </w:numPr>
        <w:spacing w:line="278" w:lineRule="auto"/>
        <w:rPr>
          <w:rFonts w:ascii="Arial" w:eastAsia="Times New Roman" w:hAnsi="Arial" w:cs="Arial"/>
          <w:sz w:val="24"/>
          <w:szCs w:val="24"/>
        </w:rPr>
      </w:pPr>
      <w:r w:rsidRPr="007E596A">
        <w:rPr>
          <w:rFonts w:ascii="Arial" w:eastAsia="Times New Roman" w:hAnsi="Arial" w:cs="Arial"/>
          <w:sz w:val="24"/>
          <w:szCs w:val="24"/>
        </w:rPr>
        <w:t>Address the assessment backlog. Fifty-nine per cent of children receiving special education support have not been assessed by an Identification, Placement and Review Committee (IPRC) process. IPRCs are critical in supporting students by determining their areas of exceptionality and recommending appropriate educational placement and support.</w:t>
      </w:r>
      <w:r w:rsidRPr="007E596A" w:rsidDel="009A5922">
        <w:rPr>
          <w:rFonts w:ascii="Arial" w:eastAsia="Times New Roman" w:hAnsi="Arial" w:cs="Arial"/>
          <w:sz w:val="24"/>
          <w:szCs w:val="24"/>
        </w:rPr>
        <w:t xml:space="preserve"> </w:t>
      </w:r>
    </w:p>
    <w:p w14:paraId="6F252AD3" w14:textId="77777777" w:rsidR="00B6760A" w:rsidRPr="007E596A" w:rsidRDefault="00B6760A" w:rsidP="00B6760A">
      <w:pPr>
        <w:pStyle w:val="ListParagraph"/>
        <w:numPr>
          <w:ilvl w:val="0"/>
          <w:numId w:val="5"/>
        </w:numPr>
        <w:spacing w:line="278" w:lineRule="auto"/>
        <w:rPr>
          <w:rFonts w:ascii="Arial" w:eastAsia="Times New Roman" w:hAnsi="Arial" w:cs="Arial"/>
          <w:sz w:val="24"/>
          <w:szCs w:val="24"/>
        </w:rPr>
      </w:pPr>
      <w:r w:rsidRPr="007E596A">
        <w:rPr>
          <w:rFonts w:ascii="Arial" w:eastAsia="Times New Roman" w:hAnsi="Arial" w:cs="Arial"/>
          <w:sz w:val="24"/>
          <w:szCs w:val="24"/>
        </w:rPr>
        <w:t xml:space="preserve">Enhance the statistical model. The model could be changed to yield more accurate predictions. The current design uses insufficient and out-of-date data. </w:t>
      </w:r>
    </w:p>
    <w:p w14:paraId="7FE8D5E9" w14:textId="64A1E49D" w:rsidR="00B6760A" w:rsidRPr="007E596A" w:rsidRDefault="00B6760A" w:rsidP="00B6760A">
      <w:pPr>
        <w:spacing w:line="278" w:lineRule="auto"/>
        <w:rPr>
          <w:rFonts w:ascii="Arial" w:eastAsia="Times New Roman" w:hAnsi="Arial" w:cs="Arial"/>
          <w:sz w:val="24"/>
          <w:szCs w:val="24"/>
        </w:rPr>
      </w:pPr>
      <w:r w:rsidRPr="007E596A">
        <w:rPr>
          <w:rFonts w:ascii="Arial" w:eastAsia="Times New Roman" w:hAnsi="Arial" w:cs="Arial"/>
          <w:sz w:val="24"/>
          <w:szCs w:val="24"/>
        </w:rPr>
        <w:t xml:space="preserve">While these </w:t>
      </w:r>
      <w:r w:rsidR="00EF1853" w:rsidRPr="007E596A">
        <w:rPr>
          <w:rFonts w:ascii="Arial" w:eastAsia="Times New Roman" w:hAnsi="Arial" w:cs="Arial"/>
          <w:sz w:val="24"/>
          <w:szCs w:val="24"/>
        </w:rPr>
        <w:t>immediate</w:t>
      </w:r>
      <w:r w:rsidRPr="007E596A">
        <w:rPr>
          <w:rFonts w:ascii="Arial" w:eastAsia="Times New Roman" w:hAnsi="Arial" w:cs="Arial"/>
          <w:sz w:val="24"/>
          <w:szCs w:val="24"/>
        </w:rPr>
        <w:t xml:space="preserve"> fixes would positively impact students with special education needs, they won’t address the fundamental problems with the funding formula. An adequate funding model would be based on assessed needs rather than estimations. That’s the actual fix. </w:t>
      </w:r>
    </w:p>
    <w:p w14:paraId="77384E4A" w14:textId="57074E6F" w:rsidR="00B4229A" w:rsidRPr="007E596A" w:rsidRDefault="00B4229A" w:rsidP="007E596A">
      <w:pPr>
        <w:pStyle w:val="Heading1"/>
      </w:pPr>
      <w:r w:rsidRPr="007E596A">
        <w:t>Conclusion</w:t>
      </w:r>
    </w:p>
    <w:p w14:paraId="764F153F" w14:textId="038348F9" w:rsidR="0077599E" w:rsidRPr="007E596A" w:rsidRDefault="0077599E" w:rsidP="0047209D">
      <w:pPr>
        <w:rPr>
          <w:rFonts w:ascii="Arial" w:hAnsi="Arial" w:cs="Arial"/>
          <w:sz w:val="24"/>
          <w:szCs w:val="24"/>
        </w:rPr>
      </w:pPr>
      <w:r w:rsidRPr="007E596A">
        <w:rPr>
          <w:rFonts w:ascii="Arial" w:hAnsi="Arial" w:cs="Arial"/>
          <w:sz w:val="24"/>
          <w:szCs w:val="24"/>
        </w:rPr>
        <w:t xml:space="preserve">For too long, ETFO has </w:t>
      </w:r>
      <w:r w:rsidR="00A9663A" w:rsidRPr="007E596A">
        <w:rPr>
          <w:rFonts w:ascii="Arial" w:hAnsi="Arial" w:cs="Arial"/>
          <w:sz w:val="24"/>
          <w:szCs w:val="24"/>
        </w:rPr>
        <w:t>sounded</w:t>
      </w:r>
      <w:r w:rsidRPr="007E596A">
        <w:rPr>
          <w:rFonts w:ascii="Arial" w:hAnsi="Arial" w:cs="Arial"/>
          <w:sz w:val="24"/>
          <w:szCs w:val="24"/>
        </w:rPr>
        <w:t xml:space="preserve"> the alarm about the state of special education in Ontario. After years of funding cuts and policy changes by </w:t>
      </w:r>
      <w:r w:rsidR="00091588" w:rsidRPr="007E596A">
        <w:rPr>
          <w:rFonts w:ascii="Arial" w:hAnsi="Arial" w:cs="Arial"/>
          <w:sz w:val="24"/>
          <w:szCs w:val="24"/>
        </w:rPr>
        <w:t>successive provincial</w:t>
      </w:r>
      <w:r w:rsidRPr="007E596A">
        <w:rPr>
          <w:rFonts w:ascii="Arial" w:hAnsi="Arial" w:cs="Arial"/>
          <w:sz w:val="24"/>
          <w:szCs w:val="24"/>
        </w:rPr>
        <w:t xml:space="preserve"> government</w:t>
      </w:r>
      <w:r w:rsidR="00091588" w:rsidRPr="007E596A">
        <w:rPr>
          <w:rFonts w:ascii="Arial" w:hAnsi="Arial" w:cs="Arial"/>
          <w:sz w:val="24"/>
          <w:szCs w:val="24"/>
        </w:rPr>
        <w:t>s</w:t>
      </w:r>
      <w:r w:rsidRPr="007E596A">
        <w:rPr>
          <w:rFonts w:ascii="Arial" w:hAnsi="Arial" w:cs="Arial"/>
          <w:sz w:val="24"/>
          <w:szCs w:val="24"/>
        </w:rPr>
        <w:t xml:space="preserve">, school boards simply do not have the ability to provide children with disabilities in this province with the supports, resources, and programs they need to succeed. The system is fundamentally broken. </w:t>
      </w:r>
    </w:p>
    <w:p w14:paraId="49678096" w14:textId="77777777" w:rsidR="00511E82" w:rsidRPr="007E596A" w:rsidRDefault="0047209D" w:rsidP="00511E82">
      <w:pPr>
        <w:rPr>
          <w:rFonts w:ascii="Arial" w:hAnsi="Arial" w:cs="Arial"/>
          <w:sz w:val="24"/>
          <w:szCs w:val="24"/>
        </w:rPr>
      </w:pPr>
      <w:r w:rsidRPr="007E596A">
        <w:rPr>
          <w:rFonts w:ascii="Arial" w:hAnsi="Arial" w:cs="Arial"/>
          <w:sz w:val="24"/>
          <w:szCs w:val="24"/>
        </w:rPr>
        <w:t>Children with diverse abilities and needs must be welcomed and embraced in our schools</w:t>
      </w:r>
      <w:r w:rsidR="00D64EAB" w:rsidRPr="007E596A">
        <w:rPr>
          <w:rFonts w:ascii="Arial" w:hAnsi="Arial" w:cs="Arial"/>
          <w:sz w:val="24"/>
          <w:szCs w:val="24"/>
        </w:rPr>
        <w:t xml:space="preserve">. </w:t>
      </w:r>
      <w:r w:rsidR="00511E82" w:rsidRPr="007E596A">
        <w:rPr>
          <w:rFonts w:ascii="Arial" w:hAnsi="Arial" w:cs="Arial"/>
          <w:sz w:val="24"/>
          <w:szCs w:val="24"/>
        </w:rPr>
        <w:t xml:space="preserve">We must begin to truly value differences – in our classrooms and in our society. The whole child must be considered to ensure we are creating the most responsive educational environments. </w:t>
      </w:r>
    </w:p>
    <w:p w14:paraId="0F0A9CFD" w14:textId="62BB972F" w:rsidR="00A726FD" w:rsidRPr="007E596A" w:rsidRDefault="00E9696F" w:rsidP="00A9663A">
      <w:pPr>
        <w:rPr>
          <w:rFonts w:ascii="Arial" w:hAnsi="Arial" w:cs="Arial"/>
          <w:sz w:val="24"/>
          <w:szCs w:val="24"/>
        </w:rPr>
      </w:pPr>
      <w:r w:rsidRPr="007E596A">
        <w:rPr>
          <w:rFonts w:ascii="Arial" w:hAnsi="Arial" w:cs="Arial"/>
          <w:sz w:val="24"/>
          <w:szCs w:val="24"/>
        </w:rPr>
        <w:t>ETFO urges the Ontario government to adopt our 2</w:t>
      </w:r>
      <w:r w:rsidR="00EF6B06" w:rsidRPr="007E596A">
        <w:rPr>
          <w:rFonts w:ascii="Arial" w:hAnsi="Arial" w:cs="Arial"/>
          <w:sz w:val="24"/>
          <w:szCs w:val="24"/>
        </w:rPr>
        <w:t>7</w:t>
      </w:r>
      <w:r w:rsidRPr="007E596A">
        <w:rPr>
          <w:rFonts w:ascii="Arial" w:hAnsi="Arial" w:cs="Arial"/>
          <w:sz w:val="24"/>
          <w:szCs w:val="24"/>
        </w:rPr>
        <w:t xml:space="preserve"> recommendations – to appropriately fund our education system to provide a full range of student supports and ensure schools are designed to nurture authentic community so that all children have a full and valued presence within their classrooms.</w:t>
      </w:r>
    </w:p>
    <w:p w14:paraId="5EBB45C4" w14:textId="2046A629" w:rsidR="00A9663A" w:rsidRPr="007E596A" w:rsidRDefault="00A9663A" w:rsidP="00A9663A">
      <w:pPr>
        <w:rPr>
          <w:rFonts w:ascii="Arial" w:hAnsi="Arial" w:cs="Arial"/>
          <w:sz w:val="24"/>
          <w:szCs w:val="24"/>
        </w:rPr>
      </w:pPr>
      <w:r w:rsidRPr="007E596A">
        <w:rPr>
          <w:rFonts w:ascii="Arial" w:hAnsi="Arial" w:cs="Arial"/>
          <w:sz w:val="24"/>
          <w:szCs w:val="24"/>
        </w:rPr>
        <w:t xml:space="preserve">To read the Promises Unfulfilled materials, including the full report, please visit </w:t>
      </w:r>
      <w:hyperlink r:id="rId11" w:history="1">
        <w:r w:rsidR="00A75A13">
          <w:rPr>
            <w:rStyle w:val="Hyperlink"/>
            <w:rFonts w:ascii="Arial" w:hAnsi="Arial" w:cs="Arial"/>
            <w:sz w:val="24"/>
            <w:szCs w:val="24"/>
          </w:rPr>
          <w:t>etfo.ca</w:t>
        </w:r>
      </w:hyperlink>
      <w:r w:rsidR="00A75A13">
        <w:rPr>
          <w:rFonts w:ascii="Arial" w:hAnsi="Arial" w:cs="Arial"/>
          <w:sz w:val="24"/>
          <w:szCs w:val="24"/>
        </w:rPr>
        <w:t>.</w:t>
      </w:r>
    </w:p>
    <w:p w14:paraId="23208BB3" w14:textId="77777777" w:rsidR="007E596A" w:rsidRPr="00B53A7D" w:rsidRDefault="007E596A" w:rsidP="007E596A">
      <w:pPr>
        <w:rPr>
          <w:rFonts w:ascii="Arial" w:hAnsi="Arial" w:cs="Arial"/>
          <w:sz w:val="24"/>
          <w:szCs w:val="24"/>
        </w:rPr>
      </w:pPr>
      <w:r w:rsidRPr="00B53A7D">
        <w:rPr>
          <w:rFonts w:ascii="Arial" w:hAnsi="Arial" w:cs="Arial"/>
          <w:sz w:val="24"/>
          <w:szCs w:val="24"/>
        </w:rPr>
        <w:lastRenderedPageBreak/>
        <w:t xml:space="preserve">Join ETFO in making our schools accessible, welcoming, and inclusive. </w:t>
      </w:r>
      <w:hyperlink r:id="rId12" w:tooltip="BuildingBetterSchools.ca" w:history="1">
        <w:r w:rsidRPr="00B53A7D">
          <w:rPr>
            <w:rStyle w:val="Hyperlink"/>
            <w:rFonts w:ascii="Arial" w:hAnsi="Arial" w:cs="Arial"/>
            <w:sz w:val="24"/>
            <w:szCs w:val="24"/>
          </w:rPr>
          <w:t>Click here</w:t>
        </w:r>
      </w:hyperlink>
      <w:r w:rsidRPr="00B53A7D">
        <w:rPr>
          <w:rFonts w:ascii="Arial" w:hAnsi="Arial" w:cs="Arial"/>
          <w:sz w:val="24"/>
          <w:szCs w:val="24"/>
        </w:rPr>
        <w:t xml:space="preserve"> to visit the Better Building website to learn how.</w:t>
      </w:r>
    </w:p>
    <w:p w14:paraId="1E5D0727" w14:textId="3A2CF3B5" w:rsidR="008058C6" w:rsidRPr="007E596A" w:rsidRDefault="008058C6" w:rsidP="00B4229A">
      <w:pPr>
        <w:rPr>
          <w:rFonts w:ascii="Arial" w:hAnsi="Arial" w:cs="Arial"/>
          <w:sz w:val="24"/>
          <w:szCs w:val="24"/>
        </w:rPr>
      </w:pPr>
    </w:p>
    <w:sectPr w:rsidR="008058C6" w:rsidRPr="007E5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5EC"/>
    <w:multiLevelType w:val="hybridMultilevel"/>
    <w:tmpl w:val="03F67174"/>
    <w:lvl w:ilvl="0" w:tplc="E14243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24011"/>
    <w:multiLevelType w:val="hybridMultilevel"/>
    <w:tmpl w:val="DD6C1D64"/>
    <w:lvl w:ilvl="0" w:tplc="897A76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50143"/>
    <w:multiLevelType w:val="hybridMultilevel"/>
    <w:tmpl w:val="0EFAEF70"/>
    <w:lvl w:ilvl="0" w:tplc="1096BE3C">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ECB5C"/>
    <w:multiLevelType w:val="hybridMultilevel"/>
    <w:tmpl w:val="FDD4368E"/>
    <w:lvl w:ilvl="0" w:tplc="5A4A2584">
      <w:start w:val="1"/>
      <w:numFmt w:val="bullet"/>
      <w:lvlText w:val=""/>
      <w:lvlJc w:val="left"/>
      <w:pPr>
        <w:ind w:left="720" w:hanging="360"/>
      </w:pPr>
      <w:rPr>
        <w:rFonts w:ascii="Symbol" w:hAnsi="Symbol" w:hint="default"/>
      </w:rPr>
    </w:lvl>
    <w:lvl w:ilvl="1" w:tplc="AFEA5A36">
      <w:start w:val="1"/>
      <w:numFmt w:val="bullet"/>
      <w:lvlText w:val="o"/>
      <w:lvlJc w:val="left"/>
      <w:pPr>
        <w:ind w:left="1440" w:hanging="360"/>
      </w:pPr>
      <w:rPr>
        <w:rFonts w:ascii="Courier New" w:hAnsi="Courier New" w:hint="default"/>
      </w:rPr>
    </w:lvl>
    <w:lvl w:ilvl="2" w:tplc="3AA2DCFE">
      <w:start w:val="1"/>
      <w:numFmt w:val="bullet"/>
      <w:lvlText w:val=""/>
      <w:lvlJc w:val="left"/>
      <w:pPr>
        <w:ind w:left="2160" w:hanging="360"/>
      </w:pPr>
      <w:rPr>
        <w:rFonts w:ascii="Wingdings" w:hAnsi="Wingdings" w:hint="default"/>
      </w:rPr>
    </w:lvl>
    <w:lvl w:ilvl="3" w:tplc="88CC95F8">
      <w:start w:val="1"/>
      <w:numFmt w:val="bullet"/>
      <w:lvlText w:val=""/>
      <w:lvlJc w:val="left"/>
      <w:pPr>
        <w:ind w:left="2880" w:hanging="360"/>
      </w:pPr>
      <w:rPr>
        <w:rFonts w:ascii="Symbol" w:hAnsi="Symbol" w:hint="default"/>
      </w:rPr>
    </w:lvl>
    <w:lvl w:ilvl="4" w:tplc="D6A4C904">
      <w:start w:val="1"/>
      <w:numFmt w:val="bullet"/>
      <w:lvlText w:val="o"/>
      <w:lvlJc w:val="left"/>
      <w:pPr>
        <w:ind w:left="3600" w:hanging="360"/>
      </w:pPr>
      <w:rPr>
        <w:rFonts w:ascii="Courier New" w:hAnsi="Courier New" w:hint="default"/>
      </w:rPr>
    </w:lvl>
    <w:lvl w:ilvl="5" w:tplc="127C8C78">
      <w:start w:val="1"/>
      <w:numFmt w:val="bullet"/>
      <w:lvlText w:val=""/>
      <w:lvlJc w:val="left"/>
      <w:pPr>
        <w:ind w:left="4320" w:hanging="360"/>
      </w:pPr>
      <w:rPr>
        <w:rFonts w:ascii="Wingdings" w:hAnsi="Wingdings" w:hint="default"/>
      </w:rPr>
    </w:lvl>
    <w:lvl w:ilvl="6" w:tplc="5302C8F4">
      <w:start w:val="1"/>
      <w:numFmt w:val="bullet"/>
      <w:lvlText w:val=""/>
      <w:lvlJc w:val="left"/>
      <w:pPr>
        <w:ind w:left="5040" w:hanging="360"/>
      </w:pPr>
      <w:rPr>
        <w:rFonts w:ascii="Symbol" w:hAnsi="Symbol" w:hint="default"/>
      </w:rPr>
    </w:lvl>
    <w:lvl w:ilvl="7" w:tplc="C598E7F8">
      <w:start w:val="1"/>
      <w:numFmt w:val="bullet"/>
      <w:lvlText w:val="o"/>
      <w:lvlJc w:val="left"/>
      <w:pPr>
        <w:ind w:left="5760" w:hanging="360"/>
      </w:pPr>
      <w:rPr>
        <w:rFonts w:ascii="Courier New" w:hAnsi="Courier New" w:hint="default"/>
      </w:rPr>
    </w:lvl>
    <w:lvl w:ilvl="8" w:tplc="CE147E3A">
      <w:start w:val="1"/>
      <w:numFmt w:val="bullet"/>
      <w:lvlText w:val=""/>
      <w:lvlJc w:val="left"/>
      <w:pPr>
        <w:ind w:left="6480" w:hanging="360"/>
      </w:pPr>
      <w:rPr>
        <w:rFonts w:ascii="Wingdings" w:hAnsi="Wingdings" w:hint="default"/>
      </w:rPr>
    </w:lvl>
  </w:abstractNum>
  <w:abstractNum w:abstractNumId="4" w15:restartNumberingAfterBreak="0">
    <w:nsid w:val="43735B45"/>
    <w:multiLevelType w:val="hybridMultilevel"/>
    <w:tmpl w:val="6668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827D4"/>
    <w:multiLevelType w:val="hybridMultilevel"/>
    <w:tmpl w:val="46D8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9D"/>
    <w:rsid w:val="00007F26"/>
    <w:rsid w:val="00011BC0"/>
    <w:rsid w:val="000147C7"/>
    <w:rsid w:val="00025383"/>
    <w:rsid w:val="00036D98"/>
    <w:rsid w:val="00045209"/>
    <w:rsid w:val="00054616"/>
    <w:rsid w:val="000602F5"/>
    <w:rsid w:val="00073C55"/>
    <w:rsid w:val="00076F1F"/>
    <w:rsid w:val="000804B1"/>
    <w:rsid w:val="00082440"/>
    <w:rsid w:val="000857E3"/>
    <w:rsid w:val="00087986"/>
    <w:rsid w:val="00091588"/>
    <w:rsid w:val="00093799"/>
    <w:rsid w:val="0009795E"/>
    <w:rsid w:val="000A03AC"/>
    <w:rsid w:val="000A1375"/>
    <w:rsid w:val="000A3099"/>
    <w:rsid w:val="000A3B1A"/>
    <w:rsid w:val="000A6B52"/>
    <w:rsid w:val="000B1D68"/>
    <w:rsid w:val="000B34E7"/>
    <w:rsid w:val="000B796F"/>
    <w:rsid w:val="000C511E"/>
    <w:rsid w:val="000D1F90"/>
    <w:rsid w:val="000D6460"/>
    <w:rsid w:val="000E3211"/>
    <w:rsid w:val="000E74C6"/>
    <w:rsid w:val="00107DD3"/>
    <w:rsid w:val="001124BA"/>
    <w:rsid w:val="0011325F"/>
    <w:rsid w:val="00125D5D"/>
    <w:rsid w:val="00127509"/>
    <w:rsid w:val="00130219"/>
    <w:rsid w:val="00140DAF"/>
    <w:rsid w:val="001418A4"/>
    <w:rsid w:val="00142937"/>
    <w:rsid w:val="00163B02"/>
    <w:rsid w:val="00163B1A"/>
    <w:rsid w:val="001721AC"/>
    <w:rsid w:val="00175AFA"/>
    <w:rsid w:val="00185B02"/>
    <w:rsid w:val="00195362"/>
    <w:rsid w:val="001A61D7"/>
    <w:rsid w:val="001A6E39"/>
    <w:rsid w:val="001C48FE"/>
    <w:rsid w:val="001C7C34"/>
    <w:rsid w:val="001E08FB"/>
    <w:rsid w:val="001F418C"/>
    <w:rsid w:val="001F6978"/>
    <w:rsid w:val="001F7FD0"/>
    <w:rsid w:val="002116A7"/>
    <w:rsid w:val="00216E04"/>
    <w:rsid w:val="002217AA"/>
    <w:rsid w:val="00232679"/>
    <w:rsid w:val="00236BFC"/>
    <w:rsid w:val="00242820"/>
    <w:rsid w:val="00247E63"/>
    <w:rsid w:val="00260AD5"/>
    <w:rsid w:val="002624D8"/>
    <w:rsid w:val="00264A29"/>
    <w:rsid w:val="0026765F"/>
    <w:rsid w:val="00272492"/>
    <w:rsid w:val="002821CF"/>
    <w:rsid w:val="002874D8"/>
    <w:rsid w:val="002953FC"/>
    <w:rsid w:val="00295519"/>
    <w:rsid w:val="002968CF"/>
    <w:rsid w:val="00297A94"/>
    <w:rsid w:val="002A1066"/>
    <w:rsid w:val="002A182D"/>
    <w:rsid w:val="002A329C"/>
    <w:rsid w:val="002A56D7"/>
    <w:rsid w:val="002B203D"/>
    <w:rsid w:val="002B7DE5"/>
    <w:rsid w:val="002C3503"/>
    <w:rsid w:val="002D0139"/>
    <w:rsid w:val="002E3319"/>
    <w:rsid w:val="002F0807"/>
    <w:rsid w:val="002F28AC"/>
    <w:rsid w:val="002F3242"/>
    <w:rsid w:val="003113EC"/>
    <w:rsid w:val="00316463"/>
    <w:rsid w:val="00325285"/>
    <w:rsid w:val="00325B9D"/>
    <w:rsid w:val="003313A1"/>
    <w:rsid w:val="00331A20"/>
    <w:rsid w:val="00332DFC"/>
    <w:rsid w:val="003364E1"/>
    <w:rsid w:val="0036211E"/>
    <w:rsid w:val="0036296F"/>
    <w:rsid w:val="00380F49"/>
    <w:rsid w:val="00387224"/>
    <w:rsid w:val="00387DC8"/>
    <w:rsid w:val="003A55BC"/>
    <w:rsid w:val="003A5A55"/>
    <w:rsid w:val="003B0F47"/>
    <w:rsid w:val="003B44AE"/>
    <w:rsid w:val="003B78CD"/>
    <w:rsid w:val="003D1765"/>
    <w:rsid w:val="003D3FCB"/>
    <w:rsid w:val="003D5E3B"/>
    <w:rsid w:val="003E54CF"/>
    <w:rsid w:val="003E6F48"/>
    <w:rsid w:val="003F21C0"/>
    <w:rsid w:val="003F246A"/>
    <w:rsid w:val="003F5737"/>
    <w:rsid w:val="003F5DE2"/>
    <w:rsid w:val="004015EA"/>
    <w:rsid w:val="00401F8E"/>
    <w:rsid w:val="00410D89"/>
    <w:rsid w:val="004154E1"/>
    <w:rsid w:val="00422112"/>
    <w:rsid w:val="004418B5"/>
    <w:rsid w:val="00451D6E"/>
    <w:rsid w:val="00454EA1"/>
    <w:rsid w:val="0045773E"/>
    <w:rsid w:val="0046071A"/>
    <w:rsid w:val="0046162A"/>
    <w:rsid w:val="00465EC2"/>
    <w:rsid w:val="00467146"/>
    <w:rsid w:val="0047209D"/>
    <w:rsid w:val="004729FF"/>
    <w:rsid w:val="00475601"/>
    <w:rsid w:val="00484193"/>
    <w:rsid w:val="0048539D"/>
    <w:rsid w:val="00496902"/>
    <w:rsid w:val="00497F16"/>
    <w:rsid w:val="004A5644"/>
    <w:rsid w:val="004C4A85"/>
    <w:rsid w:val="004C7BCD"/>
    <w:rsid w:val="004D5085"/>
    <w:rsid w:val="004D65E8"/>
    <w:rsid w:val="005005AA"/>
    <w:rsid w:val="00501154"/>
    <w:rsid w:val="005014FF"/>
    <w:rsid w:val="00511E82"/>
    <w:rsid w:val="00526C0C"/>
    <w:rsid w:val="005272BE"/>
    <w:rsid w:val="00573301"/>
    <w:rsid w:val="00575689"/>
    <w:rsid w:val="0059643E"/>
    <w:rsid w:val="005A138E"/>
    <w:rsid w:val="005A1803"/>
    <w:rsid w:val="005A4E28"/>
    <w:rsid w:val="005B05FC"/>
    <w:rsid w:val="005B160F"/>
    <w:rsid w:val="005B22FC"/>
    <w:rsid w:val="005B6009"/>
    <w:rsid w:val="005C312F"/>
    <w:rsid w:val="005C3144"/>
    <w:rsid w:val="005D43F9"/>
    <w:rsid w:val="005E04B8"/>
    <w:rsid w:val="005E13EA"/>
    <w:rsid w:val="005E341D"/>
    <w:rsid w:val="005E6497"/>
    <w:rsid w:val="005E75EA"/>
    <w:rsid w:val="005E78BA"/>
    <w:rsid w:val="005F1791"/>
    <w:rsid w:val="005F1B53"/>
    <w:rsid w:val="00603D49"/>
    <w:rsid w:val="0061266C"/>
    <w:rsid w:val="00625A74"/>
    <w:rsid w:val="00625CDC"/>
    <w:rsid w:val="00627017"/>
    <w:rsid w:val="00632F29"/>
    <w:rsid w:val="00634C3B"/>
    <w:rsid w:val="00645777"/>
    <w:rsid w:val="00651DB7"/>
    <w:rsid w:val="00655BA3"/>
    <w:rsid w:val="00662BCA"/>
    <w:rsid w:val="00665A8A"/>
    <w:rsid w:val="00666B97"/>
    <w:rsid w:val="00671874"/>
    <w:rsid w:val="00671FC5"/>
    <w:rsid w:val="0067489E"/>
    <w:rsid w:val="006754A9"/>
    <w:rsid w:val="0068565D"/>
    <w:rsid w:val="00686121"/>
    <w:rsid w:val="006871B9"/>
    <w:rsid w:val="00691F05"/>
    <w:rsid w:val="00692522"/>
    <w:rsid w:val="006A581F"/>
    <w:rsid w:val="006C04FB"/>
    <w:rsid w:val="006C0E3C"/>
    <w:rsid w:val="006C7869"/>
    <w:rsid w:val="006D5654"/>
    <w:rsid w:val="006D58B8"/>
    <w:rsid w:val="006E17D3"/>
    <w:rsid w:val="006F2105"/>
    <w:rsid w:val="006F2FD6"/>
    <w:rsid w:val="006F3C93"/>
    <w:rsid w:val="007100FE"/>
    <w:rsid w:val="007119AE"/>
    <w:rsid w:val="00714CF9"/>
    <w:rsid w:val="007240BF"/>
    <w:rsid w:val="0073066D"/>
    <w:rsid w:val="00732FD0"/>
    <w:rsid w:val="007378A0"/>
    <w:rsid w:val="00737DB0"/>
    <w:rsid w:val="0074432C"/>
    <w:rsid w:val="0077599E"/>
    <w:rsid w:val="007875FC"/>
    <w:rsid w:val="0079787E"/>
    <w:rsid w:val="007A4EB0"/>
    <w:rsid w:val="007B1035"/>
    <w:rsid w:val="007B5727"/>
    <w:rsid w:val="007C7541"/>
    <w:rsid w:val="007D179F"/>
    <w:rsid w:val="007E5254"/>
    <w:rsid w:val="007E5417"/>
    <w:rsid w:val="007E596A"/>
    <w:rsid w:val="007F1AF4"/>
    <w:rsid w:val="008058C6"/>
    <w:rsid w:val="00811CB9"/>
    <w:rsid w:val="00815B98"/>
    <w:rsid w:val="00815E18"/>
    <w:rsid w:val="0084063C"/>
    <w:rsid w:val="00853669"/>
    <w:rsid w:val="00857A87"/>
    <w:rsid w:val="00857ECA"/>
    <w:rsid w:val="00863BA0"/>
    <w:rsid w:val="008762BB"/>
    <w:rsid w:val="00881936"/>
    <w:rsid w:val="00881DC9"/>
    <w:rsid w:val="0088263C"/>
    <w:rsid w:val="00884102"/>
    <w:rsid w:val="00887615"/>
    <w:rsid w:val="0089164D"/>
    <w:rsid w:val="00895FF3"/>
    <w:rsid w:val="008A2C98"/>
    <w:rsid w:val="008A36B4"/>
    <w:rsid w:val="008A44F2"/>
    <w:rsid w:val="008A4B52"/>
    <w:rsid w:val="008B6209"/>
    <w:rsid w:val="008E4364"/>
    <w:rsid w:val="008F2D45"/>
    <w:rsid w:val="008F3D3E"/>
    <w:rsid w:val="008F4443"/>
    <w:rsid w:val="00900D88"/>
    <w:rsid w:val="00901DC6"/>
    <w:rsid w:val="00907B1C"/>
    <w:rsid w:val="00916AC4"/>
    <w:rsid w:val="00917A2C"/>
    <w:rsid w:val="0092298F"/>
    <w:rsid w:val="00925A78"/>
    <w:rsid w:val="00927828"/>
    <w:rsid w:val="00930620"/>
    <w:rsid w:val="00931EE0"/>
    <w:rsid w:val="00937EEA"/>
    <w:rsid w:val="009456B0"/>
    <w:rsid w:val="009457A9"/>
    <w:rsid w:val="00963235"/>
    <w:rsid w:val="00970138"/>
    <w:rsid w:val="0098065C"/>
    <w:rsid w:val="00981A0D"/>
    <w:rsid w:val="00985CB0"/>
    <w:rsid w:val="009938AF"/>
    <w:rsid w:val="009B5A4D"/>
    <w:rsid w:val="009C72EB"/>
    <w:rsid w:val="009D2191"/>
    <w:rsid w:val="009D333D"/>
    <w:rsid w:val="009D4728"/>
    <w:rsid w:val="009D4A0B"/>
    <w:rsid w:val="009D551C"/>
    <w:rsid w:val="009D5D77"/>
    <w:rsid w:val="009E1506"/>
    <w:rsid w:val="009E6A11"/>
    <w:rsid w:val="009E6C93"/>
    <w:rsid w:val="009F07D9"/>
    <w:rsid w:val="009F15D9"/>
    <w:rsid w:val="009F2964"/>
    <w:rsid w:val="009F45E8"/>
    <w:rsid w:val="00A02503"/>
    <w:rsid w:val="00A07DF5"/>
    <w:rsid w:val="00A10E5D"/>
    <w:rsid w:val="00A13971"/>
    <w:rsid w:val="00A20EF1"/>
    <w:rsid w:val="00A23CC7"/>
    <w:rsid w:val="00A27331"/>
    <w:rsid w:val="00A42A34"/>
    <w:rsid w:val="00A43BC2"/>
    <w:rsid w:val="00A45BD3"/>
    <w:rsid w:val="00A52547"/>
    <w:rsid w:val="00A64CDF"/>
    <w:rsid w:val="00A71150"/>
    <w:rsid w:val="00A71FA6"/>
    <w:rsid w:val="00A726FD"/>
    <w:rsid w:val="00A73AE2"/>
    <w:rsid w:val="00A75413"/>
    <w:rsid w:val="00A75A13"/>
    <w:rsid w:val="00A77773"/>
    <w:rsid w:val="00A83AF2"/>
    <w:rsid w:val="00A84D8B"/>
    <w:rsid w:val="00A858B1"/>
    <w:rsid w:val="00A91969"/>
    <w:rsid w:val="00A92465"/>
    <w:rsid w:val="00A9663A"/>
    <w:rsid w:val="00AA1394"/>
    <w:rsid w:val="00AA3B50"/>
    <w:rsid w:val="00AA7EF7"/>
    <w:rsid w:val="00AB0AA7"/>
    <w:rsid w:val="00AB386C"/>
    <w:rsid w:val="00AB725B"/>
    <w:rsid w:val="00AC110E"/>
    <w:rsid w:val="00AC57DD"/>
    <w:rsid w:val="00AC7BFD"/>
    <w:rsid w:val="00AD6077"/>
    <w:rsid w:val="00AE1F58"/>
    <w:rsid w:val="00AE4512"/>
    <w:rsid w:val="00AE5AE8"/>
    <w:rsid w:val="00B1555B"/>
    <w:rsid w:val="00B15CFD"/>
    <w:rsid w:val="00B27594"/>
    <w:rsid w:val="00B31056"/>
    <w:rsid w:val="00B32A7F"/>
    <w:rsid w:val="00B3619A"/>
    <w:rsid w:val="00B4229A"/>
    <w:rsid w:val="00B432D5"/>
    <w:rsid w:val="00B468E6"/>
    <w:rsid w:val="00B53B20"/>
    <w:rsid w:val="00B6760A"/>
    <w:rsid w:val="00B81DFC"/>
    <w:rsid w:val="00B92EBA"/>
    <w:rsid w:val="00B9589C"/>
    <w:rsid w:val="00B972DB"/>
    <w:rsid w:val="00B9751D"/>
    <w:rsid w:val="00BA1EFB"/>
    <w:rsid w:val="00BA2FAF"/>
    <w:rsid w:val="00BA41E1"/>
    <w:rsid w:val="00BB001C"/>
    <w:rsid w:val="00BB24BE"/>
    <w:rsid w:val="00BB2E88"/>
    <w:rsid w:val="00BD3E53"/>
    <w:rsid w:val="00BE2915"/>
    <w:rsid w:val="00BF1ED1"/>
    <w:rsid w:val="00BF4985"/>
    <w:rsid w:val="00C10D29"/>
    <w:rsid w:val="00C116FF"/>
    <w:rsid w:val="00C24A29"/>
    <w:rsid w:val="00C27265"/>
    <w:rsid w:val="00C277A6"/>
    <w:rsid w:val="00C52442"/>
    <w:rsid w:val="00C5679A"/>
    <w:rsid w:val="00C63830"/>
    <w:rsid w:val="00C84861"/>
    <w:rsid w:val="00C85CCC"/>
    <w:rsid w:val="00C87707"/>
    <w:rsid w:val="00C9720E"/>
    <w:rsid w:val="00CA72DE"/>
    <w:rsid w:val="00CB7F04"/>
    <w:rsid w:val="00CC147F"/>
    <w:rsid w:val="00CC2F3F"/>
    <w:rsid w:val="00CD0508"/>
    <w:rsid w:val="00CD0AB9"/>
    <w:rsid w:val="00CD5908"/>
    <w:rsid w:val="00CD754D"/>
    <w:rsid w:val="00CE423A"/>
    <w:rsid w:val="00CE765F"/>
    <w:rsid w:val="00CF31E9"/>
    <w:rsid w:val="00CF4585"/>
    <w:rsid w:val="00CF46C7"/>
    <w:rsid w:val="00CF6778"/>
    <w:rsid w:val="00D01B6C"/>
    <w:rsid w:val="00D04E68"/>
    <w:rsid w:val="00D07A68"/>
    <w:rsid w:val="00D11C03"/>
    <w:rsid w:val="00D1449D"/>
    <w:rsid w:val="00D16D6A"/>
    <w:rsid w:val="00D17ED3"/>
    <w:rsid w:val="00D221EA"/>
    <w:rsid w:val="00D24139"/>
    <w:rsid w:val="00D25D4D"/>
    <w:rsid w:val="00D35675"/>
    <w:rsid w:val="00D41217"/>
    <w:rsid w:val="00D53F7A"/>
    <w:rsid w:val="00D64EAB"/>
    <w:rsid w:val="00D71E1D"/>
    <w:rsid w:val="00D73697"/>
    <w:rsid w:val="00D970F2"/>
    <w:rsid w:val="00DA11C5"/>
    <w:rsid w:val="00DA33E7"/>
    <w:rsid w:val="00DA53B6"/>
    <w:rsid w:val="00DA54D9"/>
    <w:rsid w:val="00DB0AEE"/>
    <w:rsid w:val="00DB2209"/>
    <w:rsid w:val="00DB7277"/>
    <w:rsid w:val="00DC2CEF"/>
    <w:rsid w:val="00DC67C7"/>
    <w:rsid w:val="00DC7AB9"/>
    <w:rsid w:val="00DC7BD9"/>
    <w:rsid w:val="00DE340F"/>
    <w:rsid w:val="00DF1C7A"/>
    <w:rsid w:val="00DF3AFA"/>
    <w:rsid w:val="00DF69E1"/>
    <w:rsid w:val="00E02A37"/>
    <w:rsid w:val="00E11A4C"/>
    <w:rsid w:val="00E129D7"/>
    <w:rsid w:val="00E25118"/>
    <w:rsid w:val="00E33DD2"/>
    <w:rsid w:val="00E47E71"/>
    <w:rsid w:val="00E51F8E"/>
    <w:rsid w:val="00E532C2"/>
    <w:rsid w:val="00E65DD2"/>
    <w:rsid w:val="00E814CB"/>
    <w:rsid w:val="00E83353"/>
    <w:rsid w:val="00E906E7"/>
    <w:rsid w:val="00E9696F"/>
    <w:rsid w:val="00EB3CD2"/>
    <w:rsid w:val="00EB7B26"/>
    <w:rsid w:val="00EC04C3"/>
    <w:rsid w:val="00EE4F51"/>
    <w:rsid w:val="00EF018F"/>
    <w:rsid w:val="00EF1853"/>
    <w:rsid w:val="00EF4E5A"/>
    <w:rsid w:val="00EF66F9"/>
    <w:rsid w:val="00EF6B06"/>
    <w:rsid w:val="00EF6BE7"/>
    <w:rsid w:val="00EF75C0"/>
    <w:rsid w:val="00F11818"/>
    <w:rsid w:val="00F34916"/>
    <w:rsid w:val="00F36826"/>
    <w:rsid w:val="00F47562"/>
    <w:rsid w:val="00F5056C"/>
    <w:rsid w:val="00F564BA"/>
    <w:rsid w:val="00F8205A"/>
    <w:rsid w:val="00F839BD"/>
    <w:rsid w:val="00F85574"/>
    <w:rsid w:val="00F92FF1"/>
    <w:rsid w:val="00F94BD1"/>
    <w:rsid w:val="00F95BDB"/>
    <w:rsid w:val="00FA383B"/>
    <w:rsid w:val="00FA73B1"/>
    <w:rsid w:val="00FA777D"/>
    <w:rsid w:val="00FB2230"/>
    <w:rsid w:val="00FC1947"/>
    <w:rsid w:val="00FC3033"/>
    <w:rsid w:val="00FD0752"/>
    <w:rsid w:val="00FD17B0"/>
    <w:rsid w:val="00FD23CD"/>
    <w:rsid w:val="00FD2D79"/>
    <w:rsid w:val="00FE274D"/>
    <w:rsid w:val="00FE2938"/>
    <w:rsid w:val="00FF0B51"/>
    <w:rsid w:val="00FF14B7"/>
    <w:rsid w:val="00FF6C83"/>
    <w:rsid w:val="267B8135"/>
    <w:rsid w:val="4650528D"/>
    <w:rsid w:val="668E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43F0"/>
  <w15:chartTrackingRefBased/>
  <w15:docId w15:val="{C84064E6-FA78-4E9D-9B8D-F0FA1BAF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96A"/>
    <w:pPr>
      <w:outlineLvl w:val="0"/>
    </w:pPr>
    <w:rPr>
      <w:rFonts w:ascii="Arial" w:hAnsi="Arial" w:cs="Open Sans SemiBold"/>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39D"/>
    <w:rPr>
      <w:color w:val="0563C1" w:themeColor="hyperlink"/>
      <w:u w:val="single"/>
    </w:rPr>
  </w:style>
  <w:style w:type="character" w:styleId="UnresolvedMention">
    <w:name w:val="Unresolved Mention"/>
    <w:basedOn w:val="DefaultParagraphFont"/>
    <w:uiPriority w:val="99"/>
    <w:semiHidden/>
    <w:unhideWhenUsed/>
    <w:rsid w:val="00B4229A"/>
    <w:rPr>
      <w:color w:val="605E5C"/>
      <w:shd w:val="clear" w:color="auto" w:fill="E1DFDD"/>
    </w:rPr>
  </w:style>
  <w:style w:type="paragraph" w:styleId="ListParagraph">
    <w:name w:val="List Paragraph"/>
    <w:aliases w:val="Lettre d'introduction,List Paragraph1,Indented Paragraph,Bullet List 1,Unordered List Level 1,Heading 4 test,MOU List Number i,kern at 14 pt,Bullet list,Subhead Paragraph,Contents Page,Bullet,Indented Paragra,table bullets,Recommendation"/>
    <w:basedOn w:val="Normal"/>
    <w:link w:val="ListParagraphChar"/>
    <w:uiPriority w:val="34"/>
    <w:qFormat/>
    <w:rsid w:val="001F6978"/>
    <w:pPr>
      <w:ind w:left="720"/>
      <w:contextualSpacing/>
    </w:pPr>
  </w:style>
  <w:style w:type="table" w:styleId="TableGrid">
    <w:name w:val="Table Grid"/>
    <w:basedOn w:val="TableNormal"/>
    <w:uiPriority w:val="39"/>
    <w:rsid w:val="001F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ttre d'introduction Char,List Paragraph1 Char,Indented Paragraph Char,Bullet List 1 Char,Unordered List Level 1 Char,Heading 4 test Char,MOU List Number i Char,kern at 14 pt Char,Bullet list Char,Subhead Paragraph Char,Bullet Char"/>
    <w:basedOn w:val="DefaultParagraphFont"/>
    <w:link w:val="ListParagraph"/>
    <w:uiPriority w:val="34"/>
    <w:qFormat/>
    <w:locked/>
    <w:rsid w:val="001F6978"/>
  </w:style>
  <w:style w:type="character" w:styleId="CommentReference">
    <w:name w:val="annotation reference"/>
    <w:basedOn w:val="DefaultParagraphFont"/>
    <w:uiPriority w:val="99"/>
    <w:semiHidden/>
    <w:unhideWhenUsed/>
    <w:rsid w:val="00E814CB"/>
    <w:rPr>
      <w:sz w:val="16"/>
      <w:szCs w:val="16"/>
    </w:rPr>
  </w:style>
  <w:style w:type="paragraph" w:styleId="CommentText">
    <w:name w:val="annotation text"/>
    <w:basedOn w:val="Normal"/>
    <w:link w:val="CommentTextChar"/>
    <w:uiPriority w:val="99"/>
    <w:semiHidden/>
    <w:unhideWhenUsed/>
    <w:rsid w:val="00E814CB"/>
    <w:pPr>
      <w:spacing w:line="240" w:lineRule="auto"/>
    </w:pPr>
    <w:rPr>
      <w:sz w:val="20"/>
      <w:szCs w:val="20"/>
    </w:rPr>
  </w:style>
  <w:style w:type="character" w:customStyle="1" w:styleId="CommentTextChar">
    <w:name w:val="Comment Text Char"/>
    <w:basedOn w:val="DefaultParagraphFont"/>
    <w:link w:val="CommentText"/>
    <w:uiPriority w:val="99"/>
    <w:semiHidden/>
    <w:rsid w:val="00E814CB"/>
    <w:rPr>
      <w:sz w:val="20"/>
      <w:szCs w:val="20"/>
    </w:rPr>
  </w:style>
  <w:style w:type="paragraph" w:styleId="CommentSubject">
    <w:name w:val="annotation subject"/>
    <w:basedOn w:val="CommentText"/>
    <w:next w:val="CommentText"/>
    <w:link w:val="CommentSubjectChar"/>
    <w:uiPriority w:val="99"/>
    <w:semiHidden/>
    <w:unhideWhenUsed/>
    <w:rsid w:val="00E814CB"/>
    <w:rPr>
      <w:b/>
      <w:bCs/>
    </w:rPr>
  </w:style>
  <w:style w:type="character" w:customStyle="1" w:styleId="CommentSubjectChar">
    <w:name w:val="Comment Subject Char"/>
    <w:basedOn w:val="CommentTextChar"/>
    <w:link w:val="CommentSubject"/>
    <w:uiPriority w:val="99"/>
    <w:semiHidden/>
    <w:rsid w:val="00E814CB"/>
    <w:rPr>
      <w:b/>
      <w:bCs/>
      <w:sz w:val="20"/>
      <w:szCs w:val="20"/>
    </w:rPr>
  </w:style>
  <w:style w:type="paragraph" w:styleId="Revision">
    <w:name w:val="Revision"/>
    <w:hidden/>
    <w:uiPriority w:val="99"/>
    <w:semiHidden/>
    <w:rsid w:val="00E51F8E"/>
    <w:pPr>
      <w:spacing w:after="0" w:line="240" w:lineRule="auto"/>
    </w:pPr>
  </w:style>
  <w:style w:type="paragraph" w:styleId="Title">
    <w:name w:val="Title"/>
    <w:basedOn w:val="Normal"/>
    <w:next w:val="Normal"/>
    <w:link w:val="TitleChar"/>
    <w:uiPriority w:val="10"/>
    <w:qFormat/>
    <w:rsid w:val="007E596A"/>
    <w:pPr>
      <w:spacing w:after="0" w:line="240" w:lineRule="auto"/>
      <w:contextualSpacing/>
    </w:pPr>
    <w:rPr>
      <w:rFonts w:ascii="Arial" w:eastAsiaTheme="majorEastAsia" w:hAnsi="Arial" w:cs="Poppins"/>
      <w:spacing w:val="-10"/>
      <w:kern w:val="28"/>
      <w:sz w:val="24"/>
      <w:szCs w:val="40"/>
    </w:rPr>
  </w:style>
  <w:style w:type="character" w:customStyle="1" w:styleId="TitleChar">
    <w:name w:val="Title Char"/>
    <w:basedOn w:val="DefaultParagraphFont"/>
    <w:link w:val="Title"/>
    <w:uiPriority w:val="10"/>
    <w:rsid w:val="007E596A"/>
    <w:rPr>
      <w:rFonts w:ascii="Arial" w:eastAsiaTheme="majorEastAsia" w:hAnsi="Arial" w:cs="Poppins"/>
      <w:spacing w:val="-10"/>
      <w:kern w:val="28"/>
      <w:sz w:val="24"/>
      <w:szCs w:val="40"/>
    </w:rPr>
  </w:style>
  <w:style w:type="paragraph" w:styleId="Subtitle">
    <w:name w:val="Subtitle"/>
    <w:basedOn w:val="Normal"/>
    <w:next w:val="Normal"/>
    <w:link w:val="SubtitleChar"/>
    <w:uiPriority w:val="11"/>
    <w:qFormat/>
    <w:rsid w:val="007E596A"/>
    <w:pPr>
      <w:numPr>
        <w:ilvl w:val="1"/>
      </w:numPr>
    </w:pPr>
    <w:rPr>
      <w:rFonts w:ascii="Arial" w:eastAsiaTheme="minorEastAsia" w:hAnsi="Arial" w:cs="Poppins"/>
      <w:iCs/>
      <w:spacing w:val="15"/>
      <w:sz w:val="24"/>
      <w:szCs w:val="32"/>
    </w:rPr>
  </w:style>
  <w:style w:type="character" w:customStyle="1" w:styleId="SubtitleChar">
    <w:name w:val="Subtitle Char"/>
    <w:basedOn w:val="DefaultParagraphFont"/>
    <w:link w:val="Subtitle"/>
    <w:uiPriority w:val="11"/>
    <w:rsid w:val="007E596A"/>
    <w:rPr>
      <w:rFonts w:ascii="Arial" w:eastAsiaTheme="minorEastAsia" w:hAnsi="Arial" w:cs="Poppins"/>
      <w:iCs/>
      <w:spacing w:val="15"/>
      <w:sz w:val="24"/>
      <w:szCs w:val="32"/>
    </w:rPr>
  </w:style>
  <w:style w:type="character" w:customStyle="1" w:styleId="Heading1Char">
    <w:name w:val="Heading 1 Char"/>
    <w:basedOn w:val="DefaultParagraphFont"/>
    <w:link w:val="Heading1"/>
    <w:uiPriority w:val="9"/>
    <w:rsid w:val="007E596A"/>
    <w:rPr>
      <w:rFonts w:ascii="Arial" w:hAnsi="Arial" w:cs="Open Sans SemiBold"/>
      <w:color w:val="000000" w:themeColor="text1"/>
      <w:sz w:val="24"/>
      <w:szCs w:val="28"/>
    </w:rPr>
  </w:style>
  <w:style w:type="character" w:styleId="FollowedHyperlink">
    <w:name w:val="FollowedHyperlink"/>
    <w:basedOn w:val="DefaultParagraphFont"/>
    <w:uiPriority w:val="99"/>
    <w:semiHidden/>
    <w:unhideWhenUsed/>
    <w:rsid w:val="007E5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38010">
      <w:bodyDiv w:val="1"/>
      <w:marLeft w:val="0"/>
      <w:marRight w:val="0"/>
      <w:marTop w:val="0"/>
      <w:marBottom w:val="0"/>
      <w:divBdr>
        <w:top w:val="none" w:sz="0" w:space="0" w:color="auto"/>
        <w:left w:val="none" w:sz="0" w:space="0" w:color="auto"/>
        <w:bottom w:val="none" w:sz="0" w:space="0" w:color="auto"/>
        <w:right w:val="none" w:sz="0" w:space="0" w:color="auto"/>
      </w:divBdr>
    </w:div>
    <w:div w:id="1200968394">
      <w:bodyDiv w:val="1"/>
      <w:marLeft w:val="0"/>
      <w:marRight w:val="0"/>
      <w:marTop w:val="0"/>
      <w:marBottom w:val="0"/>
      <w:divBdr>
        <w:top w:val="none" w:sz="0" w:space="0" w:color="auto"/>
        <w:left w:val="none" w:sz="0" w:space="0" w:color="auto"/>
        <w:bottom w:val="none" w:sz="0" w:space="0" w:color="auto"/>
        <w:right w:val="none" w:sz="0" w:space="0" w:color="auto"/>
      </w:divBdr>
    </w:div>
    <w:div w:id="1573079366">
      <w:bodyDiv w:val="1"/>
      <w:marLeft w:val="0"/>
      <w:marRight w:val="0"/>
      <w:marTop w:val="0"/>
      <w:marBottom w:val="0"/>
      <w:divBdr>
        <w:top w:val="none" w:sz="0" w:space="0" w:color="auto"/>
        <w:left w:val="none" w:sz="0" w:space="0" w:color="auto"/>
        <w:bottom w:val="none" w:sz="0" w:space="0" w:color="auto"/>
        <w:right w:val="none" w:sz="0" w:space="0" w:color="auto"/>
      </w:divBdr>
    </w:div>
    <w:div w:id="15883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ildingbetterschools.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fo.ca/news-publications/publications/special-education-position-paper" TargetMode="External"/><Relationship Id="rId5" Type="http://schemas.openxmlformats.org/officeDocument/2006/relationships/numbering" Target="numbering.xml"/><Relationship Id="rId10" Type="http://schemas.openxmlformats.org/officeDocument/2006/relationships/hyperlink" Target="https://www.ontario.ca/page/guide-2024-2025-special-education-fund" TargetMode="External"/><Relationship Id="rId4" Type="http://schemas.openxmlformats.org/officeDocument/2006/relationships/customXml" Target="../customXml/item4.xml"/><Relationship Id="rId9" Type="http://schemas.openxmlformats.org/officeDocument/2006/relationships/hyperlink" Target="https://www.policyalternatives.ca/news-research/ontarios-core-education-funding-has-dropped-by-1500-per-student-since-2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13" ma:contentTypeDescription="Create a new document." ma:contentTypeScope="" ma:versionID="27e56fdd04e8af4385d63286f1d5b8d2">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e9a48fc23b41c65ab6d2af06f39ad0a"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135ef8-0fea-4c15-97f1-dad9a2168a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02297f-a228-4d0f-8f67-f54c359678a0}" ma:internalName="TaxCatchAll" ma:showField="CatchAllData" ma:web="6b52147e-3d6d-47f1-829d-f8daae82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a1eeed-653b-47fc-8a6b-0e501739b2d6">
      <Terms xmlns="http://schemas.microsoft.com/office/infopath/2007/PartnerControls"/>
    </lcf76f155ced4ddcb4097134ff3c332f>
    <TaxCatchAll xmlns="6b52147e-3d6d-47f1-829d-f8daae82a05d" xsi:nil="true"/>
  </documentManagement>
</p:properties>
</file>

<file path=customXml/itemProps1.xml><?xml version="1.0" encoding="utf-8"?>
<ds:datastoreItem xmlns:ds="http://schemas.openxmlformats.org/officeDocument/2006/customXml" ds:itemID="{3C7A19D2-38B6-43DF-9DBE-6F47A8B0811A}">
  <ds:schemaRefs>
    <ds:schemaRef ds:uri="http://schemas.openxmlformats.org/officeDocument/2006/bibliography"/>
  </ds:schemaRefs>
</ds:datastoreItem>
</file>

<file path=customXml/itemProps2.xml><?xml version="1.0" encoding="utf-8"?>
<ds:datastoreItem xmlns:ds="http://schemas.openxmlformats.org/officeDocument/2006/customXml" ds:itemID="{26134CA0-00EA-4045-ABC5-2007A621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194C1-4416-43CE-A884-8DC373AD0A77}">
  <ds:schemaRefs>
    <ds:schemaRef ds:uri="http://schemas.microsoft.com/sharepoint/v3/contenttype/forms"/>
  </ds:schemaRefs>
</ds:datastoreItem>
</file>

<file path=customXml/itemProps4.xml><?xml version="1.0" encoding="utf-8"?>
<ds:datastoreItem xmlns:ds="http://schemas.openxmlformats.org/officeDocument/2006/customXml" ds:itemID="{56FA3985-EC2F-46C2-80FD-75F06C62B163}">
  <ds:schemaRefs>
    <ds:schemaRef ds:uri="http://schemas.microsoft.com/office/2006/metadata/properties"/>
    <ds:schemaRef ds:uri="http://schemas.microsoft.com/office/infopath/2007/PartnerControls"/>
    <ds:schemaRef ds:uri="d3a1eeed-653b-47fc-8a6b-0e501739b2d6"/>
    <ds:schemaRef ds:uri="6b52147e-3d6d-47f1-829d-f8daae82a0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1182</Words>
  <Characters>6738</Characters>
  <Application>Microsoft Office Word</Application>
  <DocSecurity>0</DocSecurity>
  <Lines>56</Lines>
  <Paragraphs>15</Paragraphs>
  <ScaleCrop>false</ScaleCrop>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Zwolinski</dc:creator>
  <cp:keywords/>
  <dc:description/>
  <cp:lastModifiedBy>Tara Zwolinski</cp:lastModifiedBy>
  <cp:revision>7</cp:revision>
  <cp:lastPrinted>2025-02-11T20:39:00Z</cp:lastPrinted>
  <dcterms:created xsi:type="dcterms:W3CDTF">2025-03-11T15:57:00Z</dcterms:created>
  <dcterms:modified xsi:type="dcterms:W3CDTF">2025-04-01T15:38:00Z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